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D9B4" w14:textId="498748C1" w:rsidR="00AD3056" w:rsidRPr="00A870C4" w:rsidRDefault="00AD3056" w:rsidP="00AD3056">
      <w:pPr>
        <w:jc w:val="center"/>
        <w:rPr>
          <w:rFonts w:ascii="Arial" w:eastAsia="Arial" w:hAnsi="Arial" w:cs="Arial"/>
          <w:b/>
          <w:sz w:val="20"/>
          <w:szCs w:val="20"/>
        </w:rPr>
      </w:pPr>
      <w:r w:rsidRPr="00A870C4">
        <w:rPr>
          <w:rFonts w:ascii="Arial" w:eastAsia="Arial" w:hAnsi="Arial" w:cs="Arial"/>
          <w:b/>
          <w:sz w:val="20"/>
          <w:szCs w:val="20"/>
        </w:rPr>
        <w:t>Introduction</w:t>
      </w:r>
    </w:p>
    <w:p w14:paraId="1A476145" w14:textId="67425ABF" w:rsidR="00243A8B" w:rsidRPr="00A870C4" w:rsidRDefault="009E66ED" w:rsidP="00243A8B">
      <w:pPr>
        <w:rPr>
          <w:rFonts w:ascii="Arial" w:eastAsia="Arial" w:hAnsi="Arial" w:cs="Arial"/>
          <w:sz w:val="20"/>
          <w:szCs w:val="20"/>
        </w:rPr>
      </w:pPr>
      <w:r w:rsidRPr="00A870C4">
        <w:rPr>
          <w:rFonts w:ascii="Arial" w:eastAsia="Arial" w:hAnsi="Arial" w:cs="Arial"/>
          <w:b/>
          <w:sz w:val="20"/>
          <w:szCs w:val="20"/>
        </w:rPr>
        <w:t>Purpose of Scorecard</w:t>
      </w:r>
      <w:r w:rsidR="00243A8B" w:rsidRPr="00A870C4">
        <w:rPr>
          <w:rFonts w:ascii="Arial" w:eastAsia="Arial" w:hAnsi="Arial" w:cs="Arial"/>
          <w:b/>
          <w:sz w:val="20"/>
          <w:szCs w:val="20"/>
        </w:rPr>
        <w:t>:</w:t>
      </w:r>
      <w:r w:rsidRPr="00A870C4">
        <w:rPr>
          <w:rFonts w:ascii="Arial" w:eastAsia="Arial" w:hAnsi="Arial" w:cs="Arial"/>
          <w:b/>
          <w:sz w:val="20"/>
          <w:szCs w:val="20"/>
        </w:rPr>
        <w:t xml:space="preserve"> </w:t>
      </w:r>
      <w:r w:rsidRPr="00A870C4">
        <w:rPr>
          <w:rFonts w:ascii="Arial" w:eastAsia="Arial" w:hAnsi="Arial" w:cs="Arial"/>
          <w:sz w:val="20"/>
          <w:szCs w:val="20"/>
        </w:rPr>
        <w:t xml:space="preserve">The purpose of the scorecard is to provide a </w:t>
      </w:r>
      <w:r w:rsidR="00B153C1" w:rsidRPr="00A870C4">
        <w:rPr>
          <w:rFonts w:ascii="Arial" w:eastAsia="Arial" w:hAnsi="Arial" w:cs="Arial"/>
          <w:sz w:val="20"/>
          <w:szCs w:val="20"/>
        </w:rPr>
        <w:t>report</w:t>
      </w:r>
      <w:r w:rsidRPr="00A870C4">
        <w:rPr>
          <w:rFonts w:ascii="Arial" w:eastAsia="Arial" w:hAnsi="Arial" w:cs="Arial"/>
          <w:sz w:val="20"/>
          <w:szCs w:val="20"/>
        </w:rPr>
        <w:t xml:space="preserve"> of an individual agency’s performance throughout </w:t>
      </w:r>
      <w:r w:rsidR="008B5EB4" w:rsidRPr="00A870C4">
        <w:rPr>
          <w:rFonts w:ascii="Arial" w:eastAsia="Arial" w:hAnsi="Arial" w:cs="Arial"/>
          <w:sz w:val="20"/>
          <w:szCs w:val="20"/>
        </w:rPr>
        <w:t>its most</w:t>
      </w:r>
      <w:r w:rsidR="00CE1CB0" w:rsidRPr="00A870C4">
        <w:rPr>
          <w:rFonts w:ascii="Arial" w:eastAsia="Arial" w:hAnsi="Arial" w:cs="Arial"/>
          <w:sz w:val="20"/>
          <w:szCs w:val="20"/>
        </w:rPr>
        <w:t xml:space="preserve"> recent performance </w:t>
      </w:r>
      <w:r w:rsidRPr="00A870C4">
        <w:rPr>
          <w:rFonts w:ascii="Arial" w:eastAsia="Arial" w:hAnsi="Arial" w:cs="Arial"/>
          <w:sz w:val="20"/>
          <w:szCs w:val="20"/>
        </w:rPr>
        <w:t>in comparison to the Continuum of Care</w:t>
      </w:r>
      <w:r w:rsidR="00874EDB" w:rsidRPr="00A870C4">
        <w:rPr>
          <w:rFonts w:ascii="Arial" w:eastAsia="Arial" w:hAnsi="Arial" w:cs="Arial"/>
          <w:sz w:val="20"/>
          <w:szCs w:val="20"/>
        </w:rPr>
        <w:t xml:space="preserve"> </w:t>
      </w:r>
      <w:proofErr w:type="gramStart"/>
      <w:r w:rsidR="00874EDB" w:rsidRPr="00A870C4">
        <w:rPr>
          <w:rFonts w:ascii="Arial" w:eastAsia="Arial" w:hAnsi="Arial" w:cs="Arial"/>
          <w:sz w:val="20"/>
          <w:szCs w:val="20"/>
        </w:rPr>
        <w:t>(CoC)</w:t>
      </w:r>
      <w:r w:rsidRPr="00A870C4">
        <w:rPr>
          <w:rFonts w:ascii="Arial" w:eastAsia="Arial" w:hAnsi="Arial" w:cs="Arial"/>
          <w:sz w:val="20"/>
          <w:szCs w:val="20"/>
        </w:rPr>
        <w:t xml:space="preserve"> as a whole</w:t>
      </w:r>
      <w:proofErr w:type="gramEnd"/>
      <w:r w:rsidRPr="00A870C4">
        <w:rPr>
          <w:rFonts w:ascii="Arial" w:eastAsia="Arial" w:hAnsi="Arial" w:cs="Arial"/>
          <w:sz w:val="20"/>
          <w:szCs w:val="20"/>
        </w:rPr>
        <w:t xml:space="preserve">. The scorecard serves as a tool to identify how agencies are performing on established HUD </w:t>
      </w:r>
      <w:r w:rsidR="00242107" w:rsidRPr="00A870C4">
        <w:rPr>
          <w:rFonts w:ascii="Arial" w:eastAsia="Arial" w:hAnsi="Arial" w:cs="Arial"/>
          <w:sz w:val="20"/>
          <w:szCs w:val="20"/>
        </w:rPr>
        <w:t xml:space="preserve">system </w:t>
      </w:r>
      <w:r w:rsidRPr="00A870C4">
        <w:rPr>
          <w:rFonts w:ascii="Arial" w:eastAsia="Arial" w:hAnsi="Arial" w:cs="Arial"/>
          <w:sz w:val="20"/>
          <w:szCs w:val="20"/>
        </w:rPr>
        <w:t xml:space="preserve">performance measures and local priorities. </w:t>
      </w:r>
      <w:r w:rsidR="00242107" w:rsidRPr="00A870C4">
        <w:rPr>
          <w:rFonts w:ascii="Arial" w:eastAsia="Arial" w:hAnsi="Arial" w:cs="Arial"/>
          <w:sz w:val="20"/>
          <w:szCs w:val="20"/>
        </w:rPr>
        <w:t xml:space="preserve">An agency’s overall performance will be a determining factor in </w:t>
      </w:r>
      <w:r w:rsidR="005D157D" w:rsidRPr="00A870C4">
        <w:rPr>
          <w:rFonts w:ascii="Arial" w:eastAsia="Arial" w:hAnsi="Arial" w:cs="Arial"/>
          <w:sz w:val="20"/>
          <w:szCs w:val="20"/>
        </w:rPr>
        <w:t>its</w:t>
      </w:r>
      <w:r w:rsidR="00242107" w:rsidRPr="00A870C4">
        <w:rPr>
          <w:rFonts w:ascii="Arial" w:eastAsia="Arial" w:hAnsi="Arial" w:cs="Arial"/>
          <w:sz w:val="20"/>
          <w:szCs w:val="20"/>
        </w:rPr>
        <w:t xml:space="preserve"> ranking among other agencies, and </w:t>
      </w:r>
      <w:r w:rsidR="00A51208" w:rsidRPr="00A870C4">
        <w:rPr>
          <w:rFonts w:ascii="Arial" w:eastAsia="Arial" w:hAnsi="Arial" w:cs="Arial"/>
          <w:sz w:val="20"/>
          <w:szCs w:val="20"/>
        </w:rPr>
        <w:t>will impact</w:t>
      </w:r>
      <w:r w:rsidR="00242107" w:rsidRPr="00A870C4">
        <w:rPr>
          <w:rFonts w:ascii="Arial" w:eastAsia="Arial" w:hAnsi="Arial" w:cs="Arial"/>
          <w:sz w:val="20"/>
          <w:szCs w:val="20"/>
        </w:rPr>
        <w:t xml:space="preserve"> the Continuum of Care’s community application scor</w:t>
      </w:r>
      <w:r w:rsidR="00055A77" w:rsidRPr="00A870C4">
        <w:rPr>
          <w:rFonts w:ascii="Arial" w:eastAsia="Arial" w:hAnsi="Arial" w:cs="Arial"/>
          <w:sz w:val="20"/>
          <w:szCs w:val="20"/>
        </w:rPr>
        <w:t>e from</w:t>
      </w:r>
      <w:r w:rsidR="00242107" w:rsidRPr="00A870C4">
        <w:rPr>
          <w:rFonts w:ascii="Arial" w:eastAsia="Arial" w:hAnsi="Arial" w:cs="Arial"/>
          <w:sz w:val="20"/>
          <w:szCs w:val="20"/>
        </w:rPr>
        <w:t xml:space="preserve"> HUD. As a result, it is important that each agency </w:t>
      </w:r>
      <w:r w:rsidR="00AE1B00" w:rsidRPr="00A870C4">
        <w:rPr>
          <w:rFonts w:ascii="Arial" w:eastAsia="Arial" w:hAnsi="Arial" w:cs="Arial"/>
          <w:sz w:val="20"/>
          <w:szCs w:val="20"/>
        </w:rPr>
        <w:t xml:space="preserve">scores well locally to increase the overall community score for TX-601. Increasing the total TX-601 CoC score </w:t>
      </w:r>
      <w:r w:rsidR="00E67819">
        <w:rPr>
          <w:rFonts w:ascii="Arial" w:eastAsia="Arial" w:hAnsi="Arial" w:cs="Arial"/>
          <w:sz w:val="20"/>
          <w:szCs w:val="20"/>
        </w:rPr>
        <w:t>raises</w:t>
      </w:r>
      <w:r w:rsidR="00AE1B00" w:rsidRPr="00A870C4">
        <w:rPr>
          <w:rFonts w:ascii="Arial" w:eastAsia="Arial" w:hAnsi="Arial" w:cs="Arial"/>
          <w:sz w:val="20"/>
          <w:szCs w:val="20"/>
        </w:rPr>
        <w:t xml:space="preserve"> the likelihood o</w:t>
      </w:r>
      <w:r w:rsidR="008B5EB4" w:rsidRPr="00A870C4">
        <w:rPr>
          <w:rFonts w:ascii="Arial" w:eastAsia="Arial" w:hAnsi="Arial" w:cs="Arial"/>
          <w:sz w:val="20"/>
          <w:szCs w:val="20"/>
        </w:rPr>
        <w:t xml:space="preserve">f funding compared to other </w:t>
      </w:r>
      <w:proofErr w:type="spellStart"/>
      <w:r w:rsidR="008B5EB4" w:rsidRPr="00A870C4">
        <w:rPr>
          <w:rFonts w:ascii="Arial" w:eastAsia="Arial" w:hAnsi="Arial" w:cs="Arial"/>
          <w:sz w:val="20"/>
          <w:szCs w:val="20"/>
        </w:rPr>
        <w:t>CoC</w:t>
      </w:r>
      <w:r w:rsidR="00AE1B00" w:rsidRPr="00A870C4">
        <w:rPr>
          <w:rFonts w:ascii="Arial" w:eastAsia="Arial" w:hAnsi="Arial" w:cs="Arial"/>
          <w:sz w:val="20"/>
          <w:szCs w:val="20"/>
        </w:rPr>
        <w:t>s</w:t>
      </w:r>
      <w:proofErr w:type="spellEnd"/>
      <w:r w:rsidR="00AE1B00" w:rsidRPr="00A870C4">
        <w:rPr>
          <w:rFonts w:ascii="Arial" w:eastAsia="Arial" w:hAnsi="Arial" w:cs="Arial"/>
          <w:sz w:val="20"/>
          <w:szCs w:val="20"/>
        </w:rPr>
        <w:t xml:space="preserve"> across the nation. </w:t>
      </w:r>
    </w:p>
    <w:p w14:paraId="3F6B5A6D" w14:textId="1D26EFCC" w:rsidR="00243A8B" w:rsidRPr="00A870C4" w:rsidRDefault="00243A8B" w:rsidP="00243A8B">
      <w:pPr>
        <w:rPr>
          <w:rFonts w:ascii="Arial" w:eastAsia="Arial" w:hAnsi="Arial" w:cs="Arial"/>
          <w:sz w:val="20"/>
          <w:szCs w:val="20"/>
        </w:rPr>
      </w:pPr>
      <w:r w:rsidRPr="00DA458A">
        <w:rPr>
          <w:rFonts w:ascii="Arial" w:eastAsia="Arial" w:hAnsi="Arial" w:cs="Arial"/>
          <w:b/>
          <w:sz w:val="20"/>
          <w:szCs w:val="20"/>
        </w:rPr>
        <w:t xml:space="preserve">How </w:t>
      </w:r>
      <w:r w:rsidR="00874EDB" w:rsidRPr="00DA458A">
        <w:rPr>
          <w:rFonts w:ascii="Arial" w:eastAsia="Arial" w:hAnsi="Arial" w:cs="Arial"/>
          <w:b/>
          <w:sz w:val="20"/>
          <w:szCs w:val="20"/>
        </w:rPr>
        <w:t xml:space="preserve">the </w:t>
      </w:r>
      <w:r w:rsidR="00A21A92" w:rsidRPr="00DA458A">
        <w:rPr>
          <w:rFonts w:ascii="Arial" w:eastAsia="Arial" w:hAnsi="Arial" w:cs="Arial"/>
          <w:b/>
          <w:sz w:val="20"/>
          <w:szCs w:val="20"/>
        </w:rPr>
        <w:t xml:space="preserve">Categorical </w:t>
      </w:r>
      <w:r w:rsidR="00874EDB" w:rsidRPr="00DA458A">
        <w:rPr>
          <w:rFonts w:ascii="Arial" w:eastAsia="Arial" w:hAnsi="Arial" w:cs="Arial"/>
          <w:b/>
          <w:sz w:val="20"/>
          <w:szCs w:val="20"/>
        </w:rPr>
        <w:t xml:space="preserve">Percentage is </w:t>
      </w:r>
      <w:r w:rsidRPr="00DA458A">
        <w:rPr>
          <w:rFonts w:ascii="Arial" w:eastAsia="Arial" w:hAnsi="Arial" w:cs="Arial"/>
          <w:b/>
          <w:sz w:val="20"/>
          <w:szCs w:val="20"/>
        </w:rPr>
        <w:t>Established:</w:t>
      </w:r>
      <w:r w:rsidR="00874EDB" w:rsidRPr="00DA458A">
        <w:rPr>
          <w:rFonts w:ascii="Arial" w:eastAsia="Arial" w:hAnsi="Arial" w:cs="Arial"/>
          <w:b/>
          <w:sz w:val="20"/>
          <w:szCs w:val="20"/>
        </w:rPr>
        <w:t xml:space="preserve"> </w:t>
      </w:r>
      <w:r w:rsidR="00A21A92" w:rsidRPr="00DA458A">
        <w:rPr>
          <w:rFonts w:ascii="Arial" w:eastAsia="Arial" w:hAnsi="Arial" w:cs="Arial"/>
          <w:sz w:val="20"/>
          <w:szCs w:val="20"/>
        </w:rPr>
        <w:t>The</w:t>
      </w:r>
      <w:r w:rsidR="00A21A92" w:rsidRPr="00BC5A77">
        <w:rPr>
          <w:rFonts w:ascii="Arial" w:eastAsia="Arial" w:hAnsi="Arial" w:cs="Arial"/>
          <w:sz w:val="20"/>
          <w:szCs w:val="20"/>
        </w:rPr>
        <w:t xml:space="preserve"> percentage range on question</w:t>
      </w:r>
      <w:r w:rsidR="00200B43" w:rsidRPr="00BC5A77">
        <w:rPr>
          <w:rFonts w:ascii="Arial" w:eastAsia="Arial" w:hAnsi="Arial" w:cs="Arial"/>
          <w:sz w:val="20"/>
          <w:szCs w:val="20"/>
        </w:rPr>
        <w:t xml:space="preserve">s </w:t>
      </w:r>
      <w:r w:rsidR="00E67819">
        <w:rPr>
          <w:rFonts w:ascii="Arial" w:eastAsia="Arial" w:hAnsi="Arial" w:cs="Arial"/>
          <w:sz w:val="20"/>
          <w:szCs w:val="20"/>
        </w:rPr>
        <w:t>1</w:t>
      </w:r>
      <w:r w:rsidR="006C6158">
        <w:rPr>
          <w:rFonts w:ascii="Arial" w:eastAsia="Arial" w:hAnsi="Arial" w:cs="Arial"/>
          <w:sz w:val="20"/>
          <w:szCs w:val="20"/>
        </w:rPr>
        <w:t>-5</w:t>
      </w:r>
      <w:r w:rsidR="00A21A92" w:rsidRPr="00BC5A77">
        <w:rPr>
          <w:rFonts w:ascii="Arial" w:eastAsia="Arial" w:hAnsi="Arial" w:cs="Arial"/>
          <w:sz w:val="20"/>
          <w:szCs w:val="20"/>
        </w:rPr>
        <w:t xml:space="preserve"> was established using an Annual Performance Report (APR) for each program</w:t>
      </w:r>
      <w:r w:rsidR="00A21A92" w:rsidRPr="00DA458A">
        <w:rPr>
          <w:rFonts w:ascii="Arial" w:eastAsia="Arial" w:hAnsi="Arial" w:cs="Arial"/>
          <w:sz w:val="20"/>
          <w:szCs w:val="20"/>
        </w:rPr>
        <w:t xml:space="preserve"> with the date range of </w:t>
      </w:r>
      <w:r w:rsidR="00BC5A77" w:rsidRPr="00DA458A">
        <w:rPr>
          <w:rFonts w:ascii="Arial" w:eastAsia="Arial" w:hAnsi="Arial" w:cs="Arial"/>
          <w:sz w:val="20"/>
          <w:szCs w:val="20"/>
        </w:rPr>
        <w:t>June 1, 2016 – May 31, 2017</w:t>
      </w:r>
      <w:r w:rsidR="00FF137F" w:rsidRPr="00DA458A">
        <w:rPr>
          <w:rFonts w:ascii="Arial" w:eastAsia="Arial" w:hAnsi="Arial" w:cs="Arial"/>
          <w:b/>
          <w:sz w:val="20"/>
          <w:szCs w:val="20"/>
        </w:rPr>
        <w:t xml:space="preserve">. </w:t>
      </w:r>
      <w:r w:rsidR="00DA458A" w:rsidRPr="00DA458A">
        <w:rPr>
          <w:rFonts w:ascii="Arial" w:eastAsia="Arial" w:hAnsi="Arial" w:cs="Arial"/>
          <w:sz w:val="20"/>
          <w:szCs w:val="20"/>
        </w:rPr>
        <w:t>This</w:t>
      </w:r>
      <w:r w:rsidR="00DA458A">
        <w:rPr>
          <w:rFonts w:ascii="Arial" w:eastAsia="Arial" w:hAnsi="Arial" w:cs="Arial"/>
          <w:sz w:val="20"/>
          <w:szCs w:val="20"/>
        </w:rPr>
        <w:t xml:space="preserve"> date range provides</w:t>
      </w:r>
      <w:r w:rsidR="00A21A92" w:rsidRPr="00BC5A77">
        <w:rPr>
          <w:rFonts w:ascii="Arial" w:eastAsia="Arial" w:hAnsi="Arial" w:cs="Arial"/>
          <w:sz w:val="20"/>
          <w:szCs w:val="20"/>
        </w:rPr>
        <w:t xml:space="preserve"> a CoC-wide average baseline for the scorecard measures related to APRs. Once the average was calculated for each measure, a +/-5% deviation was established for the range (i.e. Average = 15%; Range = 10%-20%</w:t>
      </w:r>
      <w:r w:rsidR="003E4BB9" w:rsidRPr="00BC5A77">
        <w:rPr>
          <w:rFonts w:ascii="Arial" w:eastAsia="Arial" w:hAnsi="Arial" w:cs="Arial"/>
          <w:sz w:val="20"/>
          <w:szCs w:val="20"/>
        </w:rPr>
        <w:t>)</w:t>
      </w:r>
      <w:r w:rsidR="00A21A92" w:rsidRPr="00BC5A77">
        <w:rPr>
          <w:rFonts w:ascii="Arial" w:eastAsia="Arial" w:hAnsi="Arial" w:cs="Arial"/>
          <w:sz w:val="20"/>
          <w:szCs w:val="20"/>
        </w:rPr>
        <w:t>. The range around the actual average</w:t>
      </w:r>
      <w:r w:rsidR="00890FEE" w:rsidRPr="00BC5A77">
        <w:rPr>
          <w:rFonts w:ascii="Arial" w:eastAsia="Arial" w:hAnsi="Arial" w:cs="Arial"/>
          <w:sz w:val="20"/>
          <w:szCs w:val="20"/>
        </w:rPr>
        <w:t xml:space="preserve"> percentage</w:t>
      </w:r>
      <w:r w:rsidR="00A21A92" w:rsidRPr="00BC5A77">
        <w:rPr>
          <w:rFonts w:ascii="Arial" w:eastAsia="Arial" w:hAnsi="Arial" w:cs="Arial"/>
          <w:sz w:val="20"/>
          <w:szCs w:val="20"/>
        </w:rPr>
        <w:t xml:space="preserve"> is eligible for 5 points; </w:t>
      </w:r>
      <w:r w:rsidR="003E4BB9" w:rsidRPr="00BC5A77">
        <w:rPr>
          <w:rFonts w:ascii="Arial" w:eastAsia="Arial" w:hAnsi="Arial" w:cs="Arial"/>
          <w:sz w:val="20"/>
          <w:szCs w:val="20"/>
        </w:rPr>
        <w:t xml:space="preserve">project </w:t>
      </w:r>
      <w:r w:rsidR="00A21A92" w:rsidRPr="00BC5A77">
        <w:rPr>
          <w:rFonts w:ascii="Arial" w:eastAsia="Arial" w:hAnsi="Arial" w:cs="Arial"/>
          <w:sz w:val="20"/>
          <w:szCs w:val="20"/>
        </w:rPr>
        <w:t xml:space="preserve">percentages above </w:t>
      </w:r>
      <w:r w:rsidR="003E4BB9" w:rsidRPr="00BC5A77">
        <w:rPr>
          <w:rFonts w:ascii="Arial" w:eastAsia="Arial" w:hAnsi="Arial" w:cs="Arial"/>
          <w:sz w:val="20"/>
          <w:szCs w:val="20"/>
        </w:rPr>
        <w:t xml:space="preserve">the specified average range are eligible for 10 points; and, project percentages below the specified average range are eligible for 0 points. </w:t>
      </w:r>
      <w:r w:rsidR="00BB4237" w:rsidRPr="00BC5A77">
        <w:rPr>
          <w:rFonts w:ascii="Arial" w:eastAsia="Arial" w:hAnsi="Arial" w:cs="Arial"/>
          <w:sz w:val="20"/>
          <w:szCs w:val="20"/>
        </w:rPr>
        <w:t xml:space="preserve">This method allows programs to be compared and scored specifically to other programs of the same </w:t>
      </w:r>
      <w:r w:rsidR="00825E93" w:rsidRPr="00BC5A77">
        <w:rPr>
          <w:rFonts w:ascii="Arial" w:eastAsia="Arial" w:hAnsi="Arial" w:cs="Arial"/>
          <w:sz w:val="20"/>
          <w:szCs w:val="20"/>
        </w:rPr>
        <w:t>type.</w:t>
      </w:r>
      <w:r w:rsidR="00DA458A">
        <w:rPr>
          <w:rFonts w:ascii="Arial" w:eastAsia="Arial" w:hAnsi="Arial" w:cs="Arial"/>
          <w:sz w:val="20"/>
          <w:szCs w:val="20"/>
        </w:rPr>
        <w:t xml:space="preserve"> </w:t>
      </w:r>
      <w:r w:rsidR="00825E93" w:rsidRPr="00BC5A77">
        <w:rPr>
          <w:rFonts w:ascii="Arial" w:eastAsia="Arial" w:hAnsi="Arial" w:cs="Arial"/>
          <w:sz w:val="20"/>
          <w:szCs w:val="20"/>
        </w:rPr>
        <w:t xml:space="preserve">Please reference Section </w:t>
      </w:r>
      <w:r w:rsidR="006C6158">
        <w:rPr>
          <w:rFonts w:ascii="Arial" w:eastAsia="Arial" w:hAnsi="Arial" w:cs="Arial"/>
          <w:sz w:val="20"/>
          <w:szCs w:val="20"/>
        </w:rPr>
        <w:t>7</w:t>
      </w:r>
      <w:r w:rsidR="00BB4237" w:rsidRPr="00BC5A77">
        <w:rPr>
          <w:rFonts w:ascii="Arial" w:eastAsia="Arial" w:hAnsi="Arial" w:cs="Arial"/>
          <w:sz w:val="20"/>
          <w:szCs w:val="20"/>
        </w:rPr>
        <w:t>: Score Interpretation for more information.</w:t>
      </w:r>
      <w:r w:rsidR="00BB4C55">
        <w:rPr>
          <w:rFonts w:ascii="Arial" w:eastAsia="Arial" w:hAnsi="Arial" w:cs="Arial"/>
          <w:sz w:val="20"/>
          <w:szCs w:val="20"/>
        </w:rPr>
        <w:t xml:space="preserve"> </w:t>
      </w:r>
      <w:r w:rsidR="00977A6B" w:rsidRPr="006C6158">
        <w:rPr>
          <w:rFonts w:ascii="Arial" w:eastAsia="Arial" w:hAnsi="Arial" w:cs="Arial"/>
          <w:sz w:val="20"/>
          <w:szCs w:val="20"/>
        </w:rPr>
        <w:t xml:space="preserve">Other question percentage ranges were obtained from information derived from </w:t>
      </w:r>
      <w:r w:rsidR="006C6158" w:rsidRPr="006C6158">
        <w:rPr>
          <w:rFonts w:ascii="Arial" w:eastAsia="Arial" w:hAnsi="Arial" w:cs="Arial"/>
          <w:sz w:val="20"/>
          <w:szCs w:val="20"/>
        </w:rPr>
        <w:t xml:space="preserve">other sources including but not limited to NAEH, HUD, and </w:t>
      </w:r>
      <w:proofErr w:type="spellStart"/>
      <w:r w:rsidR="006C6158" w:rsidRPr="006C6158">
        <w:rPr>
          <w:rFonts w:ascii="Arial" w:eastAsia="Arial" w:hAnsi="Arial" w:cs="Arial"/>
          <w:sz w:val="20"/>
          <w:szCs w:val="20"/>
        </w:rPr>
        <w:t>eSNAPS</w:t>
      </w:r>
      <w:proofErr w:type="spellEnd"/>
      <w:r w:rsidR="006C6158" w:rsidRPr="006C6158">
        <w:rPr>
          <w:rFonts w:ascii="Arial" w:eastAsia="Arial" w:hAnsi="Arial" w:cs="Arial"/>
          <w:sz w:val="20"/>
          <w:szCs w:val="20"/>
        </w:rPr>
        <w:t xml:space="preserve"> </w:t>
      </w:r>
      <w:r w:rsidR="00387576">
        <w:rPr>
          <w:rFonts w:ascii="Arial" w:eastAsia="Arial" w:hAnsi="Arial" w:cs="Arial"/>
          <w:sz w:val="20"/>
          <w:szCs w:val="20"/>
        </w:rPr>
        <w:t xml:space="preserve">project </w:t>
      </w:r>
      <w:r w:rsidR="006C6158" w:rsidRPr="006C6158">
        <w:rPr>
          <w:rFonts w:ascii="Arial" w:eastAsia="Arial" w:hAnsi="Arial" w:cs="Arial"/>
          <w:sz w:val="20"/>
          <w:szCs w:val="20"/>
        </w:rPr>
        <w:t>applications</w:t>
      </w:r>
      <w:r w:rsidR="00977A6B" w:rsidRPr="006C6158">
        <w:rPr>
          <w:rFonts w:ascii="Arial" w:eastAsia="Arial" w:hAnsi="Arial" w:cs="Arial"/>
          <w:sz w:val="20"/>
          <w:szCs w:val="20"/>
        </w:rPr>
        <w:t>.</w:t>
      </w:r>
    </w:p>
    <w:p w14:paraId="1700CAA6" w14:textId="40661007" w:rsidR="00085A7A" w:rsidRPr="00A870C4" w:rsidRDefault="00DF6DCF" w:rsidP="002A0033">
      <w:pPr>
        <w:spacing w:after="0" w:line="240" w:lineRule="auto"/>
        <w:jc w:val="center"/>
        <w:rPr>
          <w:rFonts w:ascii="Arial" w:hAnsi="Arial" w:cs="Arial"/>
          <w:b/>
          <w:sz w:val="20"/>
          <w:szCs w:val="20"/>
        </w:rPr>
      </w:pPr>
      <w:r w:rsidRPr="00A870C4">
        <w:rPr>
          <w:rFonts w:ascii="Arial" w:hAnsi="Arial" w:cs="Arial"/>
          <w:b/>
          <w:sz w:val="20"/>
          <w:szCs w:val="20"/>
        </w:rPr>
        <w:t>Section</w:t>
      </w:r>
      <w:r w:rsidR="00085A7A" w:rsidRPr="00A870C4">
        <w:rPr>
          <w:rFonts w:ascii="Arial" w:hAnsi="Arial" w:cs="Arial"/>
          <w:b/>
          <w:sz w:val="20"/>
          <w:szCs w:val="20"/>
        </w:rPr>
        <w:t xml:space="preserve"> 1</w:t>
      </w:r>
    </w:p>
    <w:p w14:paraId="1700CAA7" w14:textId="34DA9EF4" w:rsidR="00085A7A" w:rsidRDefault="00CE07A9" w:rsidP="00085A7A">
      <w:pPr>
        <w:spacing w:after="0" w:line="240" w:lineRule="auto"/>
        <w:jc w:val="center"/>
        <w:rPr>
          <w:rFonts w:ascii="Arial" w:hAnsi="Arial" w:cs="Arial"/>
          <w:b/>
          <w:sz w:val="20"/>
          <w:szCs w:val="20"/>
        </w:rPr>
      </w:pPr>
      <w:r w:rsidRPr="00A870C4">
        <w:rPr>
          <w:rFonts w:ascii="Arial" w:hAnsi="Arial" w:cs="Arial"/>
          <w:b/>
          <w:sz w:val="20"/>
          <w:szCs w:val="20"/>
        </w:rPr>
        <w:t xml:space="preserve">Project Performance </w:t>
      </w:r>
      <w:r w:rsidR="006C6158">
        <w:rPr>
          <w:rFonts w:ascii="Arial" w:hAnsi="Arial" w:cs="Arial"/>
          <w:b/>
          <w:sz w:val="20"/>
          <w:szCs w:val="20"/>
        </w:rPr>
        <w:t>(40%)</w:t>
      </w:r>
    </w:p>
    <w:p w14:paraId="36837B6F" w14:textId="77777777" w:rsidR="006C6158" w:rsidRPr="00A870C4" w:rsidRDefault="006C6158" w:rsidP="00085A7A">
      <w:pPr>
        <w:spacing w:after="0" w:line="240" w:lineRule="auto"/>
        <w:jc w:val="center"/>
        <w:rPr>
          <w:rFonts w:ascii="Arial" w:hAnsi="Arial" w:cs="Arial"/>
          <w:b/>
          <w:sz w:val="20"/>
          <w:szCs w:val="20"/>
        </w:rPr>
      </w:pPr>
    </w:p>
    <w:p w14:paraId="1700CAB1" w14:textId="6EB387BE" w:rsidR="00085A7A" w:rsidRPr="00A85A49" w:rsidRDefault="008147DF" w:rsidP="004226C6">
      <w:pPr>
        <w:pStyle w:val="ListParagraph"/>
        <w:numPr>
          <w:ilvl w:val="1"/>
          <w:numId w:val="2"/>
        </w:numPr>
        <w:rPr>
          <w:rFonts w:ascii="Arial" w:hAnsi="Arial" w:cs="Arial"/>
          <w:b/>
          <w:sz w:val="20"/>
          <w:szCs w:val="20"/>
        </w:rPr>
      </w:pPr>
      <w:r w:rsidRPr="00A85A49">
        <w:rPr>
          <w:rFonts w:ascii="Arial" w:hAnsi="Arial" w:cs="Arial"/>
          <w:b/>
          <w:sz w:val="20"/>
          <w:szCs w:val="20"/>
        </w:rPr>
        <w:t xml:space="preserve">Percentage of </w:t>
      </w:r>
      <w:r w:rsidR="00720572" w:rsidRPr="00A85A49">
        <w:rPr>
          <w:rFonts w:ascii="Arial" w:hAnsi="Arial" w:cs="Arial"/>
          <w:b/>
          <w:sz w:val="20"/>
          <w:szCs w:val="20"/>
        </w:rPr>
        <w:t xml:space="preserve">chronically homeless </w:t>
      </w:r>
      <w:r w:rsidR="009C4B94">
        <w:rPr>
          <w:rFonts w:ascii="Arial" w:hAnsi="Arial" w:cs="Arial"/>
          <w:b/>
          <w:sz w:val="20"/>
          <w:szCs w:val="20"/>
        </w:rPr>
        <w:t>households</w:t>
      </w:r>
      <w:r w:rsidR="00720572" w:rsidRPr="00A85A49">
        <w:rPr>
          <w:rFonts w:ascii="Arial" w:hAnsi="Arial" w:cs="Arial"/>
          <w:b/>
          <w:sz w:val="20"/>
          <w:szCs w:val="20"/>
        </w:rPr>
        <w:t xml:space="preserve"> served</w:t>
      </w:r>
    </w:p>
    <w:p w14:paraId="42213CDB" w14:textId="636CC524" w:rsidR="00131967" w:rsidRPr="00A870C4" w:rsidRDefault="00085A7A" w:rsidP="004226C6">
      <w:pPr>
        <w:pStyle w:val="ListParagraph"/>
        <w:numPr>
          <w:ilvl w:val="0"/>
          <w:numId w:val="3"/>
        </w:numPr>
        <w:rPr>
          <w:rFonts w:ascii="Arial" w:hAnsi="Arial" w:cs="Arial"/>
          <w:sz w:val="20"/>
          <w:szCs w:val="20"/>
        </w:rPr>
      </w:pPr>
      <w:r w:rsidRPr="00A870C4">
        <w:rPr>
          <w:rFonts w:ascii="Arial" w:hAnsi="Arial" w:cs="Arial"/>
          <w:b/>
          <w:sz w:val="20"/>
          <w:szCs w:val="20"/>
        </w:rPr>
        <w:t>Purpose:</w:t>
      </w:r>
      <w:r w:rsidRPr="00A870C4">
        <w:rPr>
          <w:rFonts w:ascii="Arial" w:hAnsi="Arial" w:cs="Arial"/>
          <w:sz w:val="20"/>
          <w:szCs w:val="20"/>
        </w:rPr>
        <w:t xml:space="preserve"> </w:t>
      </w:r>
      <w:r w:rsidR="00131967" w:rsidRPr="00A870C4">
        <w:rPr>
          <w:rFonts w:ascii="Arial" w:hAnsi="Arial" w:cs="Arial"/>
          <w:sz w:val="20"/>
          <w:szCs w:val="20"/>
        </w:rPr>
        <w:t>Indicates project success in ending</w:t>
      </w:r>
      <w:r w:rsidR="00444AC2" w:rsidRPr="00A870C4">
        <w:rPr>
          <w:rFonts w:ascii="Arial" w:hAnsi="Arial" w:cs="Arial"/>
          <w:sz w:val="20"/>
          <w:szCs w:val="20"/>
        </w:rPr>
        <w:t xml:space="preserve"> chronic</w:t>
      </w:r>
      <w:r w:rsidR="00131967" w:rsidRPr="00A870C4">
        <w:rPr>
          <w:rFonts w:ascii="Arial" w:hAnsi="Arial" w:cs="Arial"/>
          <w:sz w:val="20"/>
          <w:szCs w:val="20"/>
        </w:rPr>
        <w:t xml:space="preserve"> homelessness by measuring</w:t>
      </w:r>
      <w:r w:rsidR="009C4B94">
        <w:rPr>
          <w:rFonts w:ascii="Arial" w:hAnsi="Arial" w:cs="Arial"/>
          <w:sz w:val="20"/>
          <w:szCs w:val="20"/>
        </w:rPr>
        <w:t xml:space="preserve"> the</w:t>
      </w:r>
      <w:r w:rsidR="00131967" w:rsidRPr="00A870C4">
        <w:rPr>
          <w:rFonts w:ascii="Arial" w:hAnsi="Arial" w:cs="Arial"/>
          <w:sz w:val="20"/>
          <w:szCs w:val="20"/>
        </w:rPr>
        <w:t xml:space="preserve"> number of </w:t>
      </w:r>
      <w:r w:rsidR="00F4463F" w:rsidRPr="00A870C4">
        <w:rPr>
          <w:rFonts w:ascii="Arial" w:hAnsi="Arial" w:cs="Arial"/>
          <w:sz w:val="20"/>
          <w:szCs w:val="20"/>
        </w:rPr>
        <w:t xml:space="preserve">chronically homeless participants served </w:t>
      </w:r>
      <w:r w:rsidR="00131967" w:rsidRPr="00A870C4">
        <w:rPr>
          <w:rFonts w:ascii="Arial" w:hAnsi="Arial" w:cs="Arial"/>
          <w:sz w:val="20"/>
          <w:szCs w:val="20"/>
        </w:rPr>
        <w:t>in the project during the measured year.</w:t>
      </w:r>
    </w:p>
    <w:p w14:paraId="05203F5E" w14:textId="57C7C1F7" w:rsidR="00131967" w:rsidRPr="00A870C4" w:rsidRDefault="00AA0D87" w:rsidP="004226C6">
      <w:pPr>
        <w:pStyle w:val="ListParagraph"/>
        <w:numPr>
          <w:ilvl w:val="0"/>
          <w:numId w:val="3"/>
        </w:numPr>
        <w:rPr>
          <w:rFonts w:ascii="Arial" w:hAnsi="Arial" w:cs="Arial"/>
          <w:sz w:val="20"/>
          <w:szCs w:val="20"/>
        </w:rPr>
      </w:pPr>
      <w:r w:rsidRPr="00A870C4">
        <w:rPr>
          <w:rFonts w:ascii="Arial" w:hAnsi="Arial" w:cs="Arial"/>
          <w:b/>
          <w:sz w:val="20"/>
          <w:szCs w:val="20"/>
        </w:rPr>
        <w:t>Scoring</w:t>
      </w:r>
      <w:r w:rsidR="00085A7A" w:rsidRPr="00A870C4">
        <w:rPr>
          <w:rFonts w:ascii="Arial" w:hAnsi="Arial" w:cs="Arial"/>
          <w:b/>
          <w:sz w:val="20"/>
          <w:szCs w:val="20"/>
        </w:rPr>
        <w:t xml:space="preserve"> Metric:</w:t>
      </w:r>
      <w:r w:rsidR="00E71050" w:rsidRPr="00A870C4">
        <w:rPr>
          <w:rFonts w:ascii="Arial" w:hAnsi="Arial" w:cs="Arial"/>
          <w:sz w:val="20"/>
          <w:szCs w:val="20"/>
        </w:rPr>
        <w:t xml:space="preserve"> </w:t>
      </w:r>
      <w:r w:rsidR="009C4B94">
        <w:rPr>
          <w:rFonts w:ascii="Arial" w:hAnsi="Arial" w:cs="Arial"/>
          <w:sz w:val="20"/>
          <w:szCs w:val="20"/>
        </w:rPr>
        <w:t xml:space="preserve">Meets or </w:t>
      </w:r>
      <w:r w:rsidR="009C4B94" w:rsidRPr="00A870C4">
        <w:rPr>
          <w:rFonts w:ascii="Arial" w:hAnsi="Arial" w:cs="Arial"/>
          <w:sz w:val="20"/>
          <w:szCs w:val="20"/>
        </w:rPr>
        <w:t>exceeds performance average for CoC PSH and RRH projects across the continuum.</w:t>
      </w:r>
    </w:p>
    <w:p w14:paraId="15C4440F" w14:textId="0AF9B295" w:rsidR="00131967" w:rsidRPr="00A870C4" w:rsidRDefault="00545A47" w:rsidP="004226C6">
      <w:pPr>
        <w:pStyle w:val="ListParagraph"/>
        <w:numPr>
          <w:ilvl w:val="0"/>
          <w:numId w:val="3"/>
        </w:numPr>
        <w:rPr>
          <w:rFonts w:ascii="Arial" w:hAnsi="Arial" w:cs="Arial"/>
          <w:sz w:val="20"/>
          <w:szCs w:val="20"/>
        </w:rPr>
      </w:pPr>
      <w:r w:rsidRPr="00A870C4">
        <w:rPr>
          <w:rFonts w:ascii="Arial" w:hAnsi="Arial" w:cs="Arial"/>
          <w:b/>
          <w:sz w:val="20"/>
          <w:szCs w:val="20"/>
        </w:rPr>
        <w:t>Calculation</w:t>
      </w:r>
      <w:r w:rsidR="00085A7A" w:rsidRPr="00A870C4">
        <w:rPr>
          <w:rFonts w:ascii="Arial" w:hAnsi="Arial" w:cs="Arial"/>
          <w:b/>
          <w:sz w:val="20"/>
          <w:szCs w:val="20"/>
        </w:rPr>
        <w:t>:</w:t>
      </w:r>
      <w:r w:rsidR="00E6202A">
        <w:rPr>
          <w:rFonts w:ascii="Arial" w:hAnsi="Arial" w:cs="Arial"/>
          <w:b/>
          <w:sz w:val="20"/>
          <w:szCs w:val="20"/>
        </w:rPr>
        <w:t xml:space="preserve"> </w:t>
      </w:r>
      <w:r w:rsidR="00131967" w:rsidRPr="00A870C4">
        <w:rPr>
          <w:rFonts w:ascii="Arial" w:hAnsi="Arial" w:cs="Arial"/>
          <w:sz w:val="20"/>
          <w:szCs w:val="20"/>
        </w:rPr>
        <w:t xml:space="preserve">Measured using the number of </w:t>
      </w:r>
      <w:r w:rsidR="00263974" w:rsidRPr="00A870C4">
        <w:rPr>
          <w:rFonts w:ascii="Arial" w:hAnsi="Arial" w:cs="Arial"/>
          <w:sz w:val="20"/>
          <w:szCs w:val="20"/>
        </w:rPr>
        <w:t>clients</w:t>
      </w:r>
      <w:r w:rsidR="009C4B94">
        <w:rPr>
          <w:rFonts w:ascii="Arial" w:hAnsi="Arial" w:cs="Arial"/>
          <w:sz w:val="20"/>
          <w:szCs w:val="20"/>
        </w:rPr>
        <w:t xml:space="preserve"> served</w:t>
      </w:r>
      <w:r w:rsidR="00263974" w:rsidRPr="00A870C4">
        <w:rPr>
          <w:rFonts w:ascii="Arial" w:hAnsi="Arial" w:cs="Arial"/>
          <w:sz w:val="20"/>
          <w:szCs w:val="20"/>
        </w:rPr>
        <w:t xml:space="preserve"> from </w:t>
      </w:r>
      <w:r w:rsidR="004F6E8B">
        <w:rPr>
          <w:rFonts w:ascii="Arial" w:hAnsi="Arial" w:cs="Arial"/>
          <w:sz w:val="20"/>
          <w:szCs w:val="20"/>
        </w:rPr>
        <w:t>June 1, 2016 – May 31, 2017</w:t>
      </w:r>
      <w:r w:rsidR="00263974" w:rsidRPr="00A870C4">
        <w:rPr>
          <w:rFonts w:ascii="Arial" w:hAnsi="Arial" w:cs="Arial"/>
          <w:sz w:val="20"/>
          <w:szCs w:val="20"/>
        </w:rPr>
        <w:t xml:space="preserve"> who </w:t>
      </w:r>
      <w:r w:rsidR="00AE5EDC" w:rsidRPr="00A870C4">
        <w:rPr>
          <w:rFonts w:ascii="Arial" w:hAnsi="Arial" w:cs="Arial"/>
          <w:sz w:val="20"/>
          <w:szCs w:val="20"/>
        </w:rPr>
        <w:t>are chronically homeless</w:t>
      </w:r>
      <w:r w:rsidR="009C4B94">
        <w:rPr>
          <w:rFonts w:ascii="Arial" w:hAnsi="Arial" w:cs="Arial"/>
          <w:sz w:val="20"/>
          <w:szCs w:val="20"/>
        </w:rPr>
        <w:t xml:space="preserve"> found on APR Q26a</w:t>
      </w:r>
      <w:r w:rsidR="001D2D98" w:rsidRPr="00A870C4">
        <w:rPr>
          <w:rFonts w:ascii="Arial" w:hAnsi="Arial" w:cs="Arial"/>
          <w:sz w:val="20"/>
          <w:szCs w:val="20"/>
        </w:rPr>
        <w:t>.</w:t>
      </w:r>
    </w:p>
    <w:p w14:paraId="5144B37F" w14:textId="018EF0C4" w:rsidR="00720572" w:rsidRPr="00A870C4" w:rsidRDefault="00720572" w:rsidP="00720572">
      <w:pPr>
        <w:spacing w:after="0"/>
        <w:rPr>
          <w:rFonts w:ascii="Arial" w:hAnsi="Arial" w:cs="Arial"/>
          <w:sz w:val="20"/>
          <w:szCs w:val="20"/>
        </w:rPr>
      </w:pPr>
    </w:p>
    <w:p w14:paraId="4F417A41" w14:textId="59403672" w:rsidR="00720572" w:rsidRPr="00A870C4" w:rsidRDefault="00720572" w:rsidP="004226C6">
      <w:pPr>
        <w:pStyle w:val="ListParagraph"/>
        <w:numPr>
          <w:ilvl w:val="1"/>
          <w:numId w:val="2"/>
        </w:numPr>
        <w:rPr>
          <w:rFonts w:ascii="Arial" w:hAnsi="Arial" w:cs="Arial"/>
          <w:b/>
          <w:sz w:val="20"/>
          <w:szCs w:val="20"/>
        </w:rPr>
      </w:pPr>
      <w:r w:rsidRPr="00A870C4">
        <w:rPr>
          <w:rFonts w:ascii="Arial" w:hAnsi="Arial" w:cs="Arial"/>
          <w:b/>
          <w:sz w:val="20"/>
          <w:szCs w:val="20"/>
        </w:rPr>
        <w:t>Percentage of participants who remained in P</w:t>
      </w:r>
      <w:r w:rsidR="00E32AEF">
        <w:rPr>
          <w:rFonts w:ascii="Arial" w:hAnsi="Arial" w:cs="Arial"/>
          <w:b/>
          <w:sz w:val="20"/>
          <w:szCs w:val="20"/>
        </w:rPr>
        <w:t>S</w:t>
      </w:r>
      <w:r w:rsidRPr="00A870C4">
        <w:rPr>
          <w:rFonts w:ascii="Arial" w:hAnsi="Arial" w:cs="Arial"/>
          <w:b/>
          <w:sz w:val="20"/>
          <w:szCs w:val="20"/>
        </w:rPr>
        <w:t>H or exited to permanent housing</w:t>
      </w:r>
    </w:p>
    <w:p w14:paraId="77486595" w14:textId="0F8E47A5" w:rsidR="00720572" w:rsidRPr="00A870C4" w:rsidRDefault="00720572" w:rsidP="004226C6">
      <w:pPr>
        <w:pStyle w:val="ListParagraph"/>
        <w:numPr>
          <w:ilvl w:val="0"/>
          <w:numId w:val="11"/>
        </w:numPr>
        <w:rPr>
          <w:rFonts w:ascii="Arial" w:hAnsi="Arial" w:cs="Arial"/>
          <w:b/>
          <w:sz w:val="20"/>
          <w:szCs w:val="20"/>
        </w:rPr>
      </w:pPr>
      <w:r w:rsidRPr="00A870C4">
        <w:rPr>
          <w:rFonts w:ascii="Arial" w:hAnsi="Arial" w:cs="Arial"/>
          <w:b/>
          <w:sz w:val="20"/>
          <w:szCs w:val="20"/>
        </w:rPr>
        <w:t>Purpose:</w:t>
      </w:r>
      <w:r w:rsidRPr="00A870C4">
        <w:rPr>
          <w:rFonts w:ascii="Arial" w:hAnsi="Arial" w:cs="Arial"/>
          <w:sz w:val="20"/>
          <w:szCs w:val="20"/>
        </w:rPr>
        <w:t xml:space="preserve"> Indicates project success in ending homelessness by measuring </w:t>
      </w:r>
      <w:r w:rsidR="009C4B94">
        <w:rPr>
          <w:rFonts w:ascii="Arial" w:hAnsi="Arial" w:cs="Arial"/>
          <w:sz w:val="20"/>
          <w:szCs w:val="20"/>
        </w:rPr>
        <w:t xml:space="preserve">the </w:t>
      </w:r>
      <w:r w:rsidRPr="00A870C4">
        <w:rPr>
          <w:rFonts w:ascii="Arial" w:hAnsi="Arial" w:cs="Arial"/>
          <w:sz w:val="20"/>
          <w:szCs w:val="20"/>
        </w:rPr>
        <w:t xml:space="preserve">number of participants with a permanent destination at project exit and those who remained in a permanent </w:t>
      </w:r>
      <w:r w:rsidR="009C4B94">
        <w:rPr>
          <w:rFonts w:ascii="Arial" w:hAnsi="Arial" w:cs="Arial"/>
          <w:sz w:val="20"/>
          <w:szCs w:val="20"/>
        </w:rPr>
        <w:t xml:space="preserve">supportive </w:t>
      </w:r>
      <w:r w:rsidRPr="00A870C4">
        <w:rPr>
          <w:rFonts w:ascii="Arial" w:hAnsi="Arial" w:cs="Arial"/>
          <w:sz w:val="20"/>
          <w:szCs w:val="20"/>
        </w:rPr>
        <w:t>housing project compared to the total number of participants active in the project during the measured year.</w:t>
      </w:r>
    </w:p>
    <w:p w14:paraId="2F6DEF74" w14:textId="4C6590B8" w:rsidR="00720572" w:rsidRPr="00A870C4" w:rsidRDefault="00720572" w:rsidP="004226C6">
      <w:pPr>
        <w:pStyle w:val="ListParagraph"/>
        <w:numPr>
          <w:ilvl w:val="0"/>
          <w:numId w:val="11"/>
        </w:numPr>
        <w:rPr>
          <w:rFonts w:ascii="Arial" w:hAnsi="Arial" w:cs="Arial"/>
          <w:sz w:val="20"/>
          <w:szCs w:val="20"/>
        </w:rPr>
      </w:pPr>
      <w:r w:rsidRPr="00A870C4">
        <w:rPr>
          <w:rFonts w:ascii="Arial" w:hAnsi="Arial" w:cs="Arial"/>
          <w:b/>
          <w:sz w:val="20"/>
          <w:szCs w:val="20"/>
        </w:rPr>
        <w:t>Scoring Metric:</w:t>
      </w:r>
      <w:r w:rsidRPr="00A870C4">
        <w:rPr>
          <w:rFonts w:ascii="Arial" w:hAnsi="Arial" w:cs="Arial"/>
          <w:sz w:val="20"/>
          <w:szCs w:val="20"/>
        </w:rPr>
        <w:t xml:space="preserve"> Meets or exceeds performance average for CoC </w:t>
      </w:r>
      <w:r w:rsidR="004102AD" w:rsidRPr="00A870C4">
        <w:rPr>
          <w:rFonts w:ascii="Arial" w:hAnsi="Arial" w:cs="Arial"/>
          <w:sz w:val="20"/>
          <w:szCs w:val="20"/>
        </w:rPr>
        <w:t xml:space="preserve">PSH and RRH </w:t>
      </w:r>
      <w:r w:rsidRPr="00A870C4">
        <w:rPr>
          <w:rFonts w:ascii="Arial" w:hAnsi="Arial" w:cs="Arial"/>
          <w:sz w:val="20"/>
          <w:szCs w:val="20"/>
        </w:rPr>
        <w:t xml:space="preserve">projects across the continuum.  </w:t>
      </w:r>
    </w:p>
    <w:p w14:paraId="2C9FCB69" w14:textId="2D45DD85" w:rsidR="00C974CF" w:rsidRDefault="00C974CF" w:rsidP="00C974CF">
      <w:pPr>
        <w:pStyle w:val="ListParagraph"/>
        <w:numPr>
          <w:ilvl w:val="0"/>
          <w:numId w:val="11"/>
        </w:numPr>
        <w:rPr>
          <w:rFonts w:ascii="Arial" w:hAnsi="Arial" w:cs="Arial"/>
          <w:sz w:val="20"/>
          <w:szCs w:val="20"/>
        </w:rPr>
      </w:pPr>
      <w:r>
        <w:rPr>
          <w:rFonts w:ascii="Arial" w:hAnsi="Arial" w:cs="Arial"/>
          <w:b/>
          <w:sz w:val="20"/>
          <w:szCs w:val="20"/>
        </w:rPr>
        <w:t xml:space="preserve">PSH </w:t>
      </w:r>
      <w:r w:rsidR="00720572" w:rsidRPr="00A870C4">
        <w:rPr>
          <w:rFonts w:ascii="Arial" w:hAnsi="Arial" w:cs="Arial"/>
          <w:b/>
          <w:sz w:val="20"/>
          <w:szCs w:val="20"/>
        </w:rPr>
        <w:t xml:space="preserve">Calculation: </w:t>
      </w:r>
      <w:r w:rsidR="00720572" w:rsidRPr="00A870C4">
        <w:rPr>
          <w:rFonts w:ascii="Arial" w:hAnsi="Arial" w:cs="Arial"/>
          <w:sz w:val="20"/>
          <w:szCs w:val="20"/>
        </w:rPr>
        <w:t>Measured using the number of leavers to permanent destinations plus all project stayers compared to the total number of active participants in the measured year. Those who left for reason of “deceased” will be not be included in the overall total.</w:t>
      </w:r>
    </w:p>
    <w:p w14:paraId="6C500CF5" w14:textId="7EFA0CDF" w:rsidR="00C974CF" w:rsidRPr="00C974CF" w:rsidRDefault="00C974CF" w:rsidP="00C974CF">
      <w:pPr>
        <w:pStyle w:val="ListParagraph"/>
        <w:numPr>
          <w:ilvl w:val="1"/>
          <w:numId w:val="11"/>
        </w:numPr>
        <w:spacing w:after="0"/>
        <w:rPr>
          <w:rFonts w:ascii="Arial" w:hAnsi="Arial" w:cs="Arial"/>
          <w:sz w:val="20"/>
          <w:szCs w:val="20"/>
        </w:rPr>
      </w:pPr>
      <w:r>
        <w:rPr>
          <w:rFonts w:ascii="Arial" w:hAnsi="Arial" w:cs="Arial"/>
          <w:sz w:val="20"/>
          <w:szCs w:val="20"/>
        </w:rPr>
        <w:t xml:space="preserve">Example: </w:t>
      </w:r>
      <w:r w:rsidRPr="00A870C4">
        <w:rPr>
          <w:rFonts w:ascii="Arial" w:hAnsi="Arial" w:cs="Arial"/>
          <w:sz w:val="20"/>
          <w:szCs w:val="20"/>
        </w:rPr>
        <w:t>APR Q</w:t>
      </w:r>
      <w:r>
        <w:rPr>
          <w:rFonts w:ascii="Arial" w:hAnsi="Arial" w:cs="Arial"/>
          <w:sz w:val="20"/>
          <w:szCs w:val="20"/>
        </w:rPr>
        <w:t>5a</w:t>
      </w:r>
      <w:r w:rsidRPr="00A870C4">
        <w:rPr>
          <w:rFonts w:ascii="Arial" w:hAnsi="Arial" w:cs="Arial"/>
          <w:sz w:val="20"/>
          <w:szCs w:val="20"/>
        </w:rPr>
        <w:t xml:space="preserve"> states that 30 clients were served in the program year; APR Q</w:t>
      </w:r>
      <w:r>
        <w:rPr>
          <w:rFonts w:ascii="Arial" w:hAnsi="Arial" w:cs="Arial"/>
          <w:sz w:val="20"/>
          <w:szCs w:val="20"/>
        </w:rPr>
        <w:t>23a and Q23b</w:t>
      </w:r>
      <w:r w:rsidRPr="00A870C4">
        <w:rPr>
          <w:rFonts w:ascii="Arial" w:hAnsi="Arial" w:cs="Arial"/>
          <w:sz w:val="20"/>
          <w:szCs w:val="20"/>
        </w:rPr>
        <w:t xml:space="preserve"> states that 10 clients were dismissed from the project, 6 exited to permanent housing. (6+20)/30 = 87%</w:t>
      </w:r>
    </w:p>
    <w:p w14:paraId="28439569" w14:textId="572FBF0F" w:rsidR="00720572" w:rsidRPr="00C974CF" w:rsidRDefault="00C974CF" w:rsidP="00C974CF">
      <w:pPr>
        <w:pStyle w:val="ListParagraph"/>
        <w:numPr>
          <w:ilvl w:val="0"/>
          <w:numId w:val="11"/>
        </w:numPr>
        <w:rPr>
          <w:rFonts w:ascii="Arial" w:hAnsi="Arial" w:cs="Arial"/>
          <w:sz w:val="20"/>
          <w:szCs w:val="20"/>
        </w:rPr>
      </w:pPr>
      <w:r>
        <w:rPr>
          <w:rFonts w:ascii="Arial" w:hAnsi="Arial" w:cs="Arial"/>
          <w:b/>
          <w:sz w:val="20"/>
          <w:szCs w:val="20"/>
        </w:rPr>
        <w:t xml:space="preserve">RRH Calculation: </w:t>
      </w:r>
      <w:r w:rsidR="00720572" w:rsidRPr="00C974CF">
        <w:rPr>
          <w:rFonts w:ascii="Arial" w:hAnsi="Arial" w:cs="Arial"/>
          <w:sz w:val="20"/>
          <w:szCs w:val="20"/>
        </w:rPr>
        <w:t>Calculated by the number of clients reported in APR Q2</w:t>
      </w:r>
      <w:r w:rsidR="00E32AEF" w:rsidRPr="00C974CF">
        <w:rPr>
          <w:rFonts w:ascii="Arial" w:hAnsi="Arial" w:cs="Arial"/>
          <w:sz w:val="20"/>
          <w:szCs w:val="20"/>
        </w:rPr>
        <w:t>3a and Q23b</w:t>
      </w:r>
      <w:r w:rsidR="00720572" w:rsidRPr="00C974CF">
        <w:rPr>
          <w:rFonts w:ascii="Arial" w:hAnsi="Arial" w:cs="Arial"/>
          <w:sz w:val="20"/>
          <w:szCs w:val="20"/>
        </w:rPr>
        <w:t xml:space="preserve"> who exited to permanent destinations divided by the total number of participants active in the project; participants reported as “deceased” will not be included in as a project leaver. </w:t>
      </w:r>
    </w:p>
    <w:p w14:paraId="5970E29C" w14:textId="0D988FBE" w:rsidR="00F61C62" w:rsidRPr="00A870C4" w:rsidRDefault="00F61C62" w:rsidP="00F61C62">
      <w:pPr>
        <w:spacing w:after="0"/>
        <w:rPr>
          <w:rFonts w:ascii="Arial" w:hAnsi="Arial" w:cs="Arial"/>
          <w:sz w:val="20"/>
          <w:szCs w:val="20"/>
        </w:rPr>
      </w:pPr>
    </w:p>
    <w:p w14:paraId="1700CAC3" w14:textId="42642609" w:rsidR="006067FF" w:rsidRPr="00A870C4" w:rsidRDefault="00E32AEF" w:rsidP="004226C6">
      <w:pPr>
        <w:pStyle w:val="ListParagraph"/>
        <w:numPr>
          <w:ilvl w:val="1"/>
          <w:numId w:val="2"/>
        </w:numPr>
        <w:spacing w:after="0"/>
        <w:rPr>
          <w:rFonts w:ascii="Arial" w:hAnsi="Arial" w:cs="Arial"/>
          <w:b/>
          <w:sz w:val="20"/>
          <w:szCs w:val="20"/>
        </w:rPr>
      </w:pPr>
      <w:r>
        <w:rPr>
          <w:rFonts w:ascii="Arial" w:hAnsi="Arial" w:cs="Arial"/>
          <w:b/>
          <w:sz w:val="20"/>
          <w:szCs w:val="20"/>
        </w:rPr>
        <w:t>Percentage of adults at exit or annual assessment who retained, gained or increased employment income</w:t>
      </w:r>
    </w:p>
    <w:p w14:paraId="120686C1" w14:textId="68366E42" w:rsidR="008C25E0" w:rsidRPr="00A870C4" w:rsidRDefault="008371A3" w:rsidP="004226C6">
      <w:pPr>
        <w:pStyle w:val="ListParagraph"/>
        <w:numPr>
          <w:ilvl w:val="0"/>
          <w:numId w:val="10"/>
        </w:numPr>
        <w:spacing w:after="0"/>
        <w:rPr>
          <w:rFonts w:ascii="Arial" w:hAnsi="Arial" w:cs="Arial"/>
          <w:sz w:val="20"/>
          <w:szCs w:val="20"/>
        </w:rPr>
      </w:pPr>
      <w:r w:rsidRPr="00A870C4">
        <w:rPr>
          <w:rFonts w:ascii="Arial" w:hAnsi="Arial" w:cs="Arial"/>
          <w:b/>
          <w:sz w:val="20"/>
          <w:szCs w:val="20"/>
        </w:rPr>
        <w:t xml:space="preserve">Purpose: </w:t>
      </w:r>
      <w:r w:rsidR="00D260AF" w:rsidRPr="00A870C4">
        <w:rPr>
          <w:rFonts w:ascii="Arial" w:hAnsi="Arial" w:cs="Arial"/>
          <w:sz w:val="20"/>
          <w:szCs w:val="20"/>
        </w:rPr>
        <w:t>Indicates that the project is assisting household</w:t>
      </w:r>
      <w:r w:rsidR="00C974CF">
        <w:rPr>
          <w:rFonts w:ascii="Arial" w:hAnsi="Arial" w:cs="Arial"/>
          <w:sz w:val="20"/>
          <w:szCs w:val="20"/>
        </w:rPr>
        <w:t>s</w:t>
      </w:r>
      <w:r w:rsidR="00D260AF" w:rsidRPr="00A870C4">
        <w:rPr>
          <w:rFonts w:ascii="Arial" w:hAnsi="Arial" w:cs="Arial"/>
          <w:sz w:val="20"/>
          <w:szCs w:val="20"/>
        </w:rPr>
        <w:t xml:space="preserve"> to increase self-sufficiency and stabilize housing by </w:t>
      </w:r>
      <w:r w:rsidR="00545A47" w:rsidRPr="00A870C4">
        <w:rPr>
          <w:rFonts w:ascii="Arial" w:hAnsi="Arial" w:cs="Arial"/>
          <w:sz w:val="20"/>
          <w:szCs w:val="20"/>
        </w:rPr>
        <w:t>retaining or gaining employment income.</w:t>
      </w:r>
      <w:r w:rsidR="00D260AF" w:rsidRPr="00A870C4">
        <w:rPr>
          <w:rFonts w:ascii="Arial" w:hAnsi="Arial" w:cs="Arial"/>
          <w:sz w:val="20"/>
          <w:szCs w:val="20"/>
        </w:rPr>
        <w:t xml:space="preserve">  </w:t>
      </w:r>
    </w:p>
    <w:p w14:paraId="4B125167" w14:textId="60CB69EE" w:rsidR="00911052" w:rsidRPr="00911052" w:rsidRDefault="00AA0D87" w:rsidP="004226C6">
      <w:pPr>
        <w:pStyle w:val="ListParagraph"/>
        <w:numPr>
          <w:ilvl w:val="0"/>
          <w:numId w:val="10"/>
        </w:numPr>
        <w:spacing w:after="0"/>
        <w:rPr>
          <w:rFonts w:ascii="Arial" w:hAnsi="Arial" w:cs="Arial"/>
          <w:color w:val="FF0000"/>
          <w:sz w:val="20"/>
          <w:szCs w:val="20"/>
        </w:rPr>
      </w:pPr>
      <w:r w:rsidRPr="00A870C4">
        <w:rPr>
          <w:rFonts w:ascii="Arial" w:hAnsi="Arial" w:cs="Arial"/>
          <w:b/>
          <w:sz w:val="20"/>
          <w:szCs w:val="20"/>
        </w:rPr>
        <w:t>Scoring</w:t>
      </w:r>
      <w:r w:rsidR="00B063EC" w:rsidRPr="00A870C4">
        <w:rPr>
          <w:rFonts w:ascii="Arial" w:hAnsi="Arial" w:cs="Arial"/>
          <w:b/>
          <w:sz w:val="20"/>
          <w:szCs w:val="20"/>
        </w:rPr>
        <w:t xml:space="preserve"> Metric</w:t>
      </w:r>
      <w:r w:rsidR="00B063EC" w:rsidRPr="00A870C4">
        <w:rPr>
          <w:rFonts w:ascii="Arial" w:hAnsi="Arial" w:cs="Arial"/>
          <w:sz w:val="20"/>
          <w:szCs w:val="20"/>
        </w:rPr>
        <w:t xml:space="preserve">: </w:t>
      </w:r>
      <w:r w:rsidR="00D260AF" w:rsidRPr="00A870C4">
        <w:rPr>
          <w:rFonts w:ascii="Arial" w:hAnsi="Arial" w:cs="Arial"/>
          <w:sz w:val="20"/>
          <w:szCs w:val="20"/>
        </w:rPr>
        <w:t xml:space="preserve">Meets or exceeds performance average for all projects across the continuum.  </w:t>
      </w:r>
    </w:p>
    <w:p w14:paraId="5B21ED7B" w14:textId="14BA5317" w:rsidR="00D260AF" w:rsidRPr="00911052" w:rsidRDefault="00545A47" w:rsidP="004226C6">
      <w:pPr>
        <w:pStyle w:val="ListParagraph"/>
        <w:numPr>
          <w:ilvl w:val="0"/>
          <w:numId w:val="10"/>
        </w:numPr>
        <w:spacing w:after="0"/>
        <w:rPr>
          <w:rFonts w:ascii="Arial" w:hAnsi="Arial" w:cs="Arial"/>
          <w:color w:val="FF0000"/>
          <w:sz w:val="20"/>
          <w:szCs w:val="20"/>
        </w:rPr>
      </w:pPr>
      <w:r w:rsidRPr="00911052">
        <w:rPr>
          <w:rFonts w:ascii="Arial" w:hAnsi="Arial" w:cs="Arial"/>
          <w:b/>
          <w:sz w:val="20"/>
          <w:szCs w:val="20"/>
        </w:rPr>
        <w:lastRenderedPageBreak/>
        <w:t xml:space="preserve">Calculation: </w:t>
      </w:r>
      <w:r w:rsidR="00D260AF" w:rsidRPr="00911052">
        <w:rPr>
          <w:rFonts w:ascii="Arial" w:hAnsi="Arial" w:cs="Arial"/>
          <w:sz w:val="20"/>
          <w:szCs w:val="20"/>
        </w:rPr>
        <w:t>De</w:t>
      </w:r>
      <w:r w:rsidR="001A3755" w:rsidRPr="00911052">
        <w:rPr>
          <w:rFonts w:ascii="Arial" w:hAnsi="Arial" w:cs="Arial"/>
          <w:sz w:val="20"/>
          <w:szCs w:val="20"/>
        </w:rPr>
        <w:t xml:space="preserve">termined by the number of </w:t>
      </w:r>
      <w:r w:rsidR="00E32AEF" w:rsidRPr="00911052">
        <w:rPr>
          <w:rFonts w:ascii="Arial" w:hAnsi="Arial" w:cs="Arial"/>
          <w:sz w:val="20"/>
          <w:szCs w:val="20"/>
        </w:rPr>
        <w:t>adults</w:t>
      </w:r>
      <w:r w:rsidR="001A3755" w:rsidRPr="00911052">
        <w:rPr>
          <w:rFonts w:ascii="Arial" w:hAnsi="Arial" w:cs="Arial"/>
          <w:sz w:val="20"/>
          <w:szCs w:val="20"/>
        </w:rPr>
        <w:t xml:space="preserve"> who were reported to have retain</w:t>
      </w:r>
      <w:r w:rsidR="00C73281" w:rsidRPr="00911052">
        <w:rPr>
          <w:rFonts w:ascii="Arial" w:hAnsi="Arial" w:cs="Arial"/>
          <w:sz w:val="20"/>
          <w:szCs w:val="20"/>
        </w:rPr>
        <w:t>ed</w:t>
      </w:r>
      <w:r w:rsidR="001A3755" w:rsidRPr="00911052">
        <w:rPr>
          <w:rFonts w:ascii="Arial" w:hAnsi="Arial" w:cs="Arial"/>
          <w:sz w:val="20"/>
          <w:szCs w:val="20"/>
        </w:rPr>
        <w:t xml:space="preserve">, gained or increased their earned income as </w:t>
      </w:r>
      <w:r w:rsidR="00D260AF" w:rsidRPr="00911052">
        <w:rPr>
          <w:rFonts w:ascii="Arial" w:hAnsi="Arial" w:cs="Arial"/>
          <w:sz w:val="20"/>
          <w:szCs w:val="20"/>
        </w:rPr>
        <w:t>reported on APR Q</w:t>
      </w:r>
      <w:r w:rsidR="00E32AEF" w:rsidRPr="00911052">
        <w:rPr>
          <w:rFonts w:ascii="Arial" w:hAnsi="Arial" w:cs="Arial"/>
          <w:sz w:val="20"/>
          <w:szCs w:val="20"/>
        </w:rPr>
        <w:t>19a3</w:t>
      </w:r>
      <w:r w:rsidR="009B1AF3" w:rsidRPr="00911052">
        <w:rPr>
          <w:rFonts w:ascii="Arial" w:hAnsi="Arial" w:cs="Arial"/>
          <w:sz w:val="20"/>
          <w:szCs w:val="20"/>
        </w:rPr>
        <w:t>, line 1,</w:t>
      </w:r>
      <w:r w:rsidR="00D260AF" w:rsidRPr="00911052">
        <w:rPr>
          <w:rFonts w:ascii="Arial" w:hAnsi="Arial" w:cs="Arial"/>
          <w:sz w:val="20"/>
          <w:szCs w:val="20"/>
        </w:rPr>
        <w:t xml:space="preserve"> </w:t>
      </w:r>
      <w:r w:rsidR="001A3755" w:rsidRPr="00911052">
        <w:rPr>
          <w:rFonts w:ascii="Arial" w:hAnsi="Arial" w:cs="Arial"/>
          <w:sz w:val="20"/>
          <w:szCs w:val="20"/>
        </w:rPr>
        <w:t>columns</w:t>
      </w:r>
      <w:r w:rsidR="00D260AF" w:rsidRPr="00911052">
        <w:rPr>
          <w:rFonts w:ascii="Arial" w:hAnsi="Arial" w:cs="Arial"/>
          <w:sz w:val="20"/>
          <w:szCs w:val="20"/>
        </w:rPr>
        <w:t xml:space="preserve"> “</w:t>
      </w:r>
      <w:r w:rsidR="00C73281" w:rsidRPr="00911052">
        <w:rPr>
          <w:rFonts w:ascii="Arial" w:hAnsi="Arial" w:cs="Arial"/>
          <w:sz w:val="20"/>
          <w:szCs w:val="20"/>
        </w:rPr>
        <w:t xml:space="preserve">Retained Income </w:t>
      </w:r>
      <w:r w:rsidR="00FF137F" w:rsidRPr="00911052">
        <w:rPr>
          <w:rFonts w:ascii="Arial" w:hAnsi="Arial" w:cs="Arial"/>
          <w:sz w:val="20"/>
          <w:szCs w:val="20"/>
        </w:rPr>
        <w:t>w/ Same $ at Exit/Latest</w:t>
      </w:r>
      <w:r w:rsidR="00D260AF" w:rsidRPr="00911052">
        <w:rPr>
          <w:rFonts w:ascii="Arial" w:hAnsi="Arial" w:cs="Arial"/>
          <w:sz w:val="20"/>
          <w:szCs w:val="20"/>
        </w:rPr>
        <w:t>”</w:t>
      </w:r>
      <w:r w:rsidR="00C73281" w:rsidRPr="00911052">
        <w:rPr>
          <w:rFonts w:ascii="Arial" w:hAnsi="Arial" w:cs="Arial"/>
          <w:sz w:val="20"/>
          <w:szCs w:val="20"/>
        </w:rPr>
        <w:t>,</w:t>
      </w:r>
      <w:r w:rsidR="00D260AF" w:rsidRPr="00911052">
        <w:rPr>
          <w:rFonts w:ascii="Arial" w:hAnsi="Arial" w:cs="Arial"/>
          <w:sz w:val="20"/>
          <w:szCs w:val="20"/>
        </w:rPr>
        <w:t xml:space="preserve"> </w:t>
      </w:r>
      <w:r w:rsidR="00C73281" w:rsidRPr="00911052">
        <w:rPr>
          <w:rFonts w:ascii="Arial" w:hAnsi="Arial" w:cs="Arial"/>
          <w:sz w:val="20"/>
          <w:szCs w:val="20"/>
        </w:rPr>
        <w:t xml:space="preserve">“Retained Income Category </w:t>
      </w:r>
      <w:r w:rsidR="00FF137F" w:rsidRPr="00911052">
        <w:rPr>
          <w:rFonts w:ascii="Arial" w:hAnsi="Arial" w:cs="Arial"/>
          <w:sz w:val="20"/>
          <w:szCs w:val="20"/>
        </w:rPr>
        <w:t>w/ More</w:t>
      </w:r>
      <w:r w:rsidR="00C73281" w:rsidRPr="00911052">
        <w:rPr>
          <w:rFonts w:ascii="Arial" w:hAnsi="Arial" w:cs="Arial"/>
          <w:sz w:val="20"/>
          <w:szCs w:val="20"/>
        </w:rPr>
        <w:t xml:space="preserve"> $ at Exit</w:t>
      </w:r>
      <w:r w:rsidR="00FF137F" w:rsidRPr="00911052">
        <w:rPr>
          <w:rFonts w:ascii="Arial" w:hAnsi="Arial" w:cs="Arial"/>
          <w:sz w:val="20"/>
          <w:szCs w:val="20"/>
        </w:rPr>
        <w:t>/Latest</w:t>
      </w:r>
      <w:r w:rsidR="00C73281" w:rsidRPr="00911052">
        <w:rPr>
          <w:rFonts w:ascii="Arial" w:hAnsi="Arial" w:cs="Arial"/>
          <w:sz w:val="20"/>
          <w:szCs w:val="20"/>
        </w:rPr>
        <w:t xml:space="preserve">”, and “Did Not Have </w:t>
      </w:r>
      <w:r w:rsidR="00FF137F" w:rsidRPr="00911052">
        <w:rPr>
          <w:rFonts w:ascii="Arial" w:hAnsi="Arial" w:cs="Arial"/>
          <w:sz w:val="20"/>
          <w:szCs w:val="20"/>
        </w:rPr>
        <w:t>at Entry Gained at Exit/Latest</w:t>
      </w:r>
      <w:r w:rsidR="00C73281" w:rsidRPr="00911052">
        <w:rPr>
          <w:rFonts w:ascii="Arial" w:hAnsi="Arial" w:cs="Arial"/>
          <w:sz w:val="20"/>
          <w:szCs w:val="20"/>
        </w:rPr>
        <w:t>”</w:t>
      </w:r>
      <w:r w:rsidR="00FF137F" w:rsidRPr="00911052">
        <w:rPr>
          <w:rFonts w:ascii="Arial" w:hAnsi="Arial" w:cs="Arial"/>
          <w:sz w:val="20"/>
          <w:szCs w:val="20"/>
        </w:rPr>
        <w:t>.</w:t>
      </w:r>
    </w:p>
    <w:p w14:paraId="3FA07142" w14:textId="1FC69D29" w:rsidR="00D260AF" w:rsidRPr="002900DB" w:rsidRDefault="00D260AF" w:rsidP="004226C6">
      <w:pPr>
        <w:pStyle w:val="ListParagraph"/>
        <w:numPr>
          <w:ilvl w:val="1"/>
          <w:numId w:val="10"/>
        </w:numPr>
        <w:spacing w:after="0" w:line="240" w:lineRule="auto"/>
        <w:rPr>
          <w:rFonts w:ascii="Arial" w:hAnsi="Arial" w:cs="Arial"/>
          <w:b/>
          <w:sz w:val="20"/>
          <w:szCs w:val="20"/>
        </w:rPr>
      </w:pPr>
      <w:r w:rsidRPr="002900DB">
        <w:rPr>
          <w:rFonts w:ascii="Arial" w:hAnsi="Arial" w:cs="Arial"/>
          <w:sz w:val="20"/>
          <w:szCs w:val="20"/>
        </w:rPr>
        <w:t xml:space="preserve">Calculated by adding </w:t>
      </w:r>
      <w:r w:rsidR="009B1AF3" w:rsidRPr="002900DB">
        <w:rPr>
          <w:rFonts w:ascii="Arial" w:hAnsi="Arial" w:cs="Arial"/>
          <w:sz w:val="20"/>
          <w:szCs w:val="20"/>
        </w:rPr>
        <w:t xml:space="preserve">data reported in </w:t>
      </w:r>
      <w:r w:rsidRPr="002900DB">
        <w:rPr>
          <w:rFonts w:ascii="Arial" w:hAnsi="Arial" w:cs="Arial"/>
          <w:sz w:val="20"/>
          <w:szCs w:val="20"/>
        </w:rPr>
        <w:t>APRQ</w:t>
      </w:r>
      <w:r w:rsidR="00FF137F" w:rsidRPr="002900DB">
        <w:rPr>
          <w:rFonts w:ascii="Arial" w:hAnsi="Arial" w:cs="Arial"/>
          <w:sz w:val="20"/>
          <w:szCs w:val="20"/>
        </w:rPr>
        <w:t>19a3</w:t>
      </w:r>
      <w:r w:rsidR="009B1AF3" w:rsidRPr="002900DB">
        <w:rPr>
          <w:rFonts w:ascii="Arial" w:hAnsi="Arial" w:cs="Arial"/>
          <w:sz w:val="20"/>
          <w:szCs w:val="20"/>
        </w:rPr>
        <w:t xml:space="preserve">, line 1 and dividing by the </w:t>
      </w:r>
      <w:r w:rsidRPr="002900DB">
        <w:rPr>
          <w:rFonts w:ascii="Arial" w:hAnsi="Arial" w:cs="Arial"/>
          <w:sz w:val="20"/>
          <w:szCs w:val="20"/>
        </w:rPr>
        <w:t>total number of adult</w:t>
      </w:r>
      <w:r w:rsidR="00FF137F" w:rsidRPr="002900DB">
        <w:rPr>
          <w:rFonts w:ascii="Arial" w:hAnsi="Arial" w:cs="Arial"/>
          <w:sz w:val="20"/>
          <w:szCs w:val="20"/>
        </w:rPr>
        <w:t>s</w:t>
      </w:r>
      <w:r w:rsidR="00C974CF">
        <w:rPr>
          <w:rFonts w:ascii="Arial" w:hAnsi="Arial" w:cs="Arial"/>
          <w:sz w:val="20"/>
          <w:szCs w:val="20"/>
        </w:rPr>
        <w:t xml:space="preserve"> with an update assessment</w:t>
      </w:r>
      <w:r w:rsidRPr="002900DB">
        <w:rPr>
          <w:rFonts w:ascii="Arial" w:hAnsi="Arial" w:cs="Arial"/>
          <w:sz w:val="20"/>
          <w:szCs w:val="20"/>
        </w:rPr>
        <w:t xml:space="preserve"> </w:t>
      </w:r>
      <w:r w:rsidR="009B1AF3" w:rsidRPr="002900DB">
        <w:rPr>
          <w:rFonts w:ascii="Arial" w:hAnsi="Arial" w:cs="Arial"/>
          <w:sz w:val="20"/>
          <w:szCs w:val="20"/>
        </w:rPr>
        <w:t>in</w:t>
      </w:r>
      <w:r w:rsidRPr="002900DB">
        <w:rPr>
          <w:rFonts w:ascii="Arial" w:hAnsi="Arial" w:cs="Arial"/>
          <w:sz w:val="20"/>
          <w:szCs w:val="20"/>
        </w:rPr>
        <w:t xml:space="preserve"> the reporting period.</w:t>
      </w:r>
    </w:p>
    <w:p w14:paraId="561068BC" w14:textId="308A478C" w:rsidR="00CE07A9" w:rsidRPr="002900DB" w:rsidRDefault="00D260AF" w:rsidP="004226C6">
      <w:pPr>
        <w:pStyle w:val="ListParagraph"/>
        <w:numPr>
          <w:ilvl w:val="1"/>
          <w:numId w:val="10"/>
        </w:numPr>
        <w:spacing w:after="0" w:line="240" w:lineRule="auto"/>
        <w:rPr>
          <w:rFonts w:ascii="Arial" w:hAnsi="Arial" w:cs="Arial"/>
          <w:b/>
          <w:sz w:val="20"/>
          <w:szCs w:val="20"/>
        </w:rPr>
      </w:pPr>
      <w:r w:rsidRPr="002900DB">
        <w:rPr>
          <w:rFonts w:ascii="Arial" w:hAnsi="Arial" w:cs="Arial"/>
          <w:sz w:val="20"/>
          <w:szCs w:val="20"/>
        </w:rPr>
        <w:t>Example: Q</w:t>
      </w:r>
      <w:r w:rsidR="00FF137F" w:rsidRPr="002900DB">
        <w:rPr>
          <w:rFonts w:ascii="Arial" w:hAnsi="Arial" w:cs="Arial"/>
          <w:sz w:val="20"/>
          <w:szCs w:val="20"/>
        </w:rPr>
        <w:t>19a3</w:t>
      </w:r>
      <w:r w:rsidRPr="002900DB">
        <w:rPr>
          <w:rFonts w:ascii="Arial" w:hAnsi="Arial" w:cs="Arial"/>
          <w:sz w:val="20"/>
          <w:szCs w:val="20"/>
        </w:rPr>
        <w:t xml:space="preserve"> states 2 adults </w:t>
      </w:r>
      <w:r w:rsidR="009B1AF3" w:rsidRPr="002900DB">
        <w:rPr>
          <w:rFonts w:ascii="Arial" w:hAnsi="Arial" w:cs="Arial"/>
          <w:sz w:val="20"/>
          <w:szCs w:val="20"/>
        </w:rPr>
        <w:t>as “</w:t>
      </w:r>
      <w:r w:rsidR="00FF137F" w:rsidRPr="002900DB">
        <w:rPr>
          <w:rFonts w:ascii="Arial" w:hAnsi="Arial" w:cs="Arial"/>
          <w:sz w:val="20"/>
          <w:szCs w:val="20"/>
        </w:rPr>
        <w:t>Retained Income w/ Same $ at Exit/Latest</w:t>
      </w:r>
      <w:r w:rsidR="009B1AF3" w:rsidRPr="002900DB">
        <w:rPr>
          <w:rFonts w:ascii="Arial" w:hAnsi="Arial" w:cs="Arial"/>
          <w:sz w:val="20"/>
          <w:szCs w:val="20"/>
        </w:rPr>
        <w:t xml:space="preserve">”, 1 </w:t>
      </w:r>
      <w:r w:rsidR="00FF137F" w:rsidRPr="002900DB">
        <w:rPr>
          <w:rFonts w:ascii="Arial" w:hAnsi="Arial" w:cs="Arial"/>
          <w:sz w:val="20"/>
          <w:szCs w:val="20"/>
        </w:rPr>
        <w:t>adult</w:t>
      </w:r>
      <w:r w:rsidR="009B1AF3" w:rsidRPr="002900DB">
        <w:rPr>
          <w:rFonts w:ascii="Arial" w:hAnsi="Arial" w:cs="Arial"/>
          <w:sz w:val="20"/>
          <w:szCs w:val="20"/>
        </w:rPr>
        <w:t xml:space="preserve"> “</w:t>
      </w:r>
      <w:r w:rsidR="002900DB" w:rsidRPr="002900DB">
        <w:rPr>
          <w:rFonts w:ascii="Arial" w:hAnsi="Arial" w:cs="Arial"/>
          <w:sz w:val="20"/>
          <w:szCs w:val="20"/>
        </w:rPr>
        <w:t>Retained Income Category w/ More $ at Exit/Latest</w:t>
      </w:r>
      <w:r w:rsidR="009B1AF3" w:rsidRPr="002900DB">
        <w:rPr>
          <w:rFonts w:ascii="Arial" w:hAnsi="Arial" w:cs="Arial"/>
          <w:sz w:val="20"/>
          <w:szCs w:val="20"/>
        </w:rPr>
        <w:t xml:space="preserve">”, and 3 </w:t>
      </w:r>
      <w:r w:rsidR="002900DB" w:rsidRPr="002900DB">
        <w:rPr>
          <w:rFonts w:ascii="Arial" w:hAnsi="Arial" w:cs="Arial"/>
          <w:sz w:val="20"/>
          <w:szCs w:val="20"/>
        </w:rPr>
        <w:t>adults</w:t>
      </w:r>
      <w:r w:rsidR="009B1AF3" w:rsidRPr="002900DB">
        <w:rPr>
          <w:rFonts w:ascii="Arial" w:hAnsi="Arial" w:cs="Arial"/>
          <w:sz w:val="20"/>
          <w:szCs w:val="20"/>
        </w:rPr>
        <w:t xml:space="preserve"> “</w:t>
      </w:r>
      <w:r w:rsidR="002900DB" w:rsidRPr="002900DB">
        <w:rPr>
          <w:rFonts w:ascii="Arial" w:hAnsi="Arial" w:cs="Arial"/>
          <w:sz w:val="20"/>
          <w:szCs w:val="20"/>
        </w:rPr>
        <w:t>Did Not Have at Entry Gained at Exit/Latest</w:t>
      </w:r>
      <w:r w:rsidR="009B1AF3" w:rsidRPr="002900DB">
        <w:rPr>
          <w:rFonts w:ascii="Arial" w:hAnsi="Arial" w:cs="Arial"/>
          <w:sz w:val="20"/>
          <w:szCs w:val="20"/>
        </w:rPr>
        <w:t>”</w:t>
      </w:r>
      <w:r w:rsidR="002900DB" w:rsidRPr="002900DB">
        <w:rPr>
          <w:rFonts w:ascii="Arial" w:hAnsi="Arial" w:cs="Arial"/>
          <w:sz w:val="20"/>
          <w:szCs w:val="20"/>
        </w:rPr>
        <w:t xml:space="preserve">.  There </w:t>
      </w:r>
      <w:r w:rsidR="004F6E8B" w:rsidRPr="002900DB">
        <w:rPr>
          <w:rFonts w:ascii="Arial" w:hAnsi="Arial" w:cs="Arial"/>
          <w:sz w:val="20"/>
          <w:szCs w:val="20"/>
        </w:rPr>
        <w:t>is</w:t>
      </w:r>
      <w:r w:rsidR="002900DB" w:rsidRPr="002900DB">
        <w:rPr>
          <w:rFonts w:ascii="Arial" w:hAnsi="Arial" w:cs="Arial"/>
          <w:sz w:val="20"/>
          <w:szCs w:val="20"/>
        </w:rPr>
        <w:t xml:space="preserve"> a total of 10 adults reported</w:t>
      </w:r>
      <w:r w:rsidR="004F6E8B">
        <w:rPr>
          <w:rFonts w:ascii="Arial" w:hAnsi="Arial" w:cs="Arial"/>
          <w:sz w:val="20"/>
          <w:szCs w:val="20"/>
        </w:rPr>
        <w:t xml:space="preserve">. </w:t>
      </w:r>
      <w:r w:rsidRPr="002900DB">
        <w:rPr>
          <w:rFonts w:ascii="Arial" w:hAnsi="Arial" w:cs="Arial"/>
          <w:sz w:val="20"/>
          <w:szCs w:val="20"/>
        </w:rPr>
        <w:t>(2+</w:t>
      </w:r>
      <w:r w:rsidR="009B1AF3" w:rsidRPr="002900DB">
        <w:rPr>
          <w:rFonts w:ascii="Arial" w:hAnsi="Arial" w:cs="Arial"/>
          <w:sz w:val="20"/>
          <w:szCs w:val="20"/>
        </w:rPr>
        <w:t>1+</w:t>
      </w:r>
      <w:r w:rsidR="002900DB" w:rsidRPr="002900DB">
        <w:rPr>
          <w:rFonts w:ascii="Arial" w:hAnsi="Arial" w:cs="Arial"/>
          <w:sz w:val="20"/>
          <w:szCs w:val="20"/>
        </w:rPr>
        <w:t>3)/1</w:t>
      </w:r>
      <w:r w:rsidR="009B1AF3" w:rsidRPr="002900DB">
        <w:rPr>
          <w:rFonts w:ascii="Arial" w:hAnsi="Arial" w:cs="Arial"/>
          <w:sz w:val="20"/>
          <w:szCs w:val="20"/>
        </w:rPr>
        <w:t>0</w:t>
      </w:r>
      <w:r w:rsidRPr="002900DB">
        <w:rPr>
          <w:rFonts w:ascii="Arial" w:hAnsi="Arial" w:cs="Arial"/>
          <w:sz w:val="20"/>
          <w:szCs w:val="20"/>
        </w:rPr>
        <w:t>=</w:t>
      </w:r>
      <w:r w:rsidR="009B1AF3" w:rsidRPr="002900DB">
        <w:rPr>
          <w:rFonts w:ascii="Arial" w:hAnsi="Arial" w:cs="Arial"/>
          <w:sz w:val="20"/>
          <w:szCs w:val="20"/>
        </w:rPr>
        <w:t>60</w:t>
      </w:r>
      <w:r w:rsidRPr="002900DB">
        <w:rPr>
          <w:rFonts w:ascii="Arial" w:hAnsi="Arial" w:cs="Arial"/>
          <w:sz w:val="20"/>
          <w:szCs w:val="20"/>
        </w:rPr>
        <w:t>%</w:t>
      </w:r>
    </w:p>
    <w:p w14:paraId="7C46B3D8" w14:textId="77777777" w:rsidR="0056004C" w:rsidRPr="00A870C4" w:rsidRDefault="0056004C" w:rsidP="00C708D4">
      <w:pPr>
        <w:pStyle w:val="ListParagraph"/>
        <w:spacing w:after="0" w:line="240" w:lineRule="auto"/>
        <w:ind w:left="360"/>
        <w:jc w:val="center"/>
        <w:rPr>
          <w:rFonts w:ascii="Arial" w:hAnsi="Arial" w:cs="Arial"/>
          <w:b/>
          <w:color w:val="FF0000"/>
          <w:sz w:val="20"/>
          <w:szCs w:val="20"/>
        </w:rPr>
      </w:pPr>
    </w:p>
    <w:p w14:paraId="1700CACE" w14:textId="7CA12046" w:rsidR="00C708D4" w:rsidRPr="00A870C4" w:rsidRDefault="0017709F" w:rsidP="004226C6">
      <w:pPr>
        <w:pStyle w:val="ListParagraph"/>
        <w:numPr>
          <w:ilvl w:val="1"/>
          <w:numId w:val="2"/>
        </w:numPr>
        <w:spacing w:after="0" w:line="240" w:lineRule="auto"/>
        <w:rPr>
          <w:rFonts w:ascii="Arial" w:hAnsi="Arial" w:cs="Arial"/>
          <w:b/>
          <w:sz w:val="20"/>
          <w:szCs w:val="20"/>
        </w:rPr>
      </w:pPr>
      <w:r w:rsidRPr="00A870C4">
        <w:rPr>
          <w:rFonts w:ascii="Arial" w:hAnsi="Arial" w:cs="Arial"/>
          <w:b/>
          <w:sz w:val="20"/>
          <w:szCs w:val="20"/>
        </w:rPr>
        <w:t>Percentage of adult</w:t>
      </w:r>
      <w:r w:rsidR="00E32AEF">
        <w:rPr>
          <w:rFonts w:ascii="Arial" w:hAnsi="Arial" w:cs="Arial"/>
          <w:b/>
          <w:sz w:val="20"/>
          <w:szCs w:val="20"/>
        </w:rPr>
        <w:t>s at exit or annual assessment who retained, gained, or increased non-employment cash income</w:t>
      </w:r>
    </w:p>
    <w:p w14:paraId="147DCE7B" w14:textId="5B02CF35" w:rsidR="00545A47" w:rsidRPr="00A870C4" w:rsidRDefault="00C708D4" w:rsidP="004226C6">
      <w:pPr>
        <w:pStyle w:val="ListParagraph"/>
        <w:numPr>
          <w:ilvl w:val="0"/>
          <w:numId w:val="6"/>
        </w:numPr>
        <w:spacing w:after="0" w:line="240" w:lineRule="auto"/>
        <w:rPr>
          <w:rFonts w:ascii="Arial" w:hAnsi="Arial" w:cs="Arial"/>
          <w:b/>
          <w:sz w:val="20"/>
          <w:szCs w:val="20"/>
        </w:rPr>
      </w:pPr>
      <w:r w:rsidRPr="00A870C4">
        <w:rPr>
          <w:rFonts w:ascii="Arial" w:hAnsi="Arial" w:cs="Arial"/>
          <w:b/>
          <w:sz w:val="20"/>
          <w:szCs w:val="20"/>
        </w:rPr>
        <w:t xml:space="preserve">Purpose: </w:t>
      </w:r>
      <w:r w:rsidR="00D260AF" w:rsidRPr="00A870C4">
        <w:rPr>
          <w:rFonts w:ascii="Arial" w:hAnsi="Arial" w:cs="Arial"/>
          <w:sz w:val="20"/>
          <w:szCs w:val="20"/>
        </w:rPr>
        <w:t>Indicates that the project i</w:t>
      </w:r>
      <w:r w:rsidR="00C974CF">
        <w:rPr>
          <w:rFonts w:ascii="Arial" w:hAnsi="Arial" w:cs="Arial"/>
          <w:sz w:val="20"/>
          <w:szCs w:val="20"/>
        </w:rPr>
        <w:t>s assisting participants toward</w:t>
      </w:r>
      <w:r w:rsidR="00D260AF" w:rsidRPr="00A870C4">
        <w:rPr>
          <w:rFonts w:ascii="Arial" w:hAnsi="Arial" w:cs="Arial"/>
          <w:sz w:val="20"/>
          <w:szCs w:val="20"/>
        </w:rPr>
        <w:t xml:space="preserve"> self-sufficiency through </w:t>
      </w:r>
      <w:r w:rsidR="00545A47" w:rsidRPr="00A870C4">
        <w:rPr>
          <w:rFonts w:ascii="Arial" w:hAnsi="Arial" w:cs="Arial"/>
          <w:sz w:val="20"/>
          <w:szCs w:val="20"/>
        </w:rPr>
        <w:t xml:space="preserve">retaining or </w:t>
      </w:r>
      <w:r w:rsidR="00C974CF">
        <w:rPr>
          <w:rFonts w:ascii="Arial" w:hAnsi="Arial" w:cs="Arial"/>
          <w:sz w:val="20"/>
          <w:szCs w:val="20"/>
        </w:rPr>
        <w:t>increasing</w:t>
      </w:r>
      <w:r w:rsidR="00D260AF" w:rsidRPr="00A870C4">
        <w:rPr>
          <w:rFonts w:ascii="Arial" w:hAnsi="Arial" w:cs="Arial"/>
          <w:sz w:val="20"/>
          <w:szCs w:val="20"/>
        </w:rPr>
        <w:t xml:space="preserve"> income</w:t>
      </w:r>
      <w:r w:rsidR="00545A47" w:rsidRPr="00A870C4">
        <w:rPr>
          <w:rFonts w:ascii="Arial" w:hAnsi="Arial" w:cs="Arial"/>
          <w:sz w:val="20"/>
          <w:szCs w:val="20"/>
        </w:rPr>
        <w:t xml:space="preserve"> by</w:t>
      </w:r>
      <w:r w:rsidR="00D260AF" w:rsidRPr="00A870C4">
        <w:rPr>
          <w:rFonts w:ascii="Arial" w:hAnsi="Arial" w:cs="Arial"/>
          <w:sz w:val="20"/>
          <w:szCs w:val="20"/>
        </w:rPr>
        <w:t xml:space="preserve"> utilizing all possible resources available to participants.</w:t>
      </w:r>
      <w:r w:rsidR="00545A47" w:rsidRPr="00A870C4">
        <w:rPr>
          <w:rFonts w:ascii="Arial" w:hAnsi="Arial" w:cs="Arial"/>
          <w:sz w:val="20"/>
          <w:szCs w:val="20"/>
        </w:rPr>
        <w:t xml:space="preserve"> </w:t>
      </w:r>
    </w:p>
    <w:p w14:paraId="27464090" w14:textId="77777777" w:rsidR="009B1AF3" w:rsidRPr="00A870C4" w:rsidRDefault="00AA0D87" w:rsidP="004226C6">
      <w:pPr>
        <w:pStyle w:val="ListParagraph"/>
        <w:numPr>
          <w:ilvl w:val="0"/>
          <w:numId w:val="6"/>
        </w:numPr>
        <w:spacing w:after="0" w:line="240" w:lineRule="auto"/>
        <w:rPr>
          <w:rFonts w:ascii="Arial" w:hAnsi="Arial" w:cs="Arial"/>
          <w:b/>
          <w:color w:val="FF0000"/>
          <w:sz w:val="20"/>
          <w:szCs w:val="20"/>
        </w:rPr>
      </w:pPr>
      <w:r w:rsidRPr="00A870C4">
        <w:rPr>
          <w:rFonts w:ascii="Arial" w:hAnsi="Arial" w:cs="Arial"/>
          <w:b/>
          <w:sz w:val="20"/>
          <w:szCs w:val="20"/>
        </w:rPr>
        <w:t>Scoring</w:t>
      </w:r>
      <w:r w:rsidR="00C708D4" w:rsidRPr="00A870C4">
        <w:rPr>
          <w:rFonts w:ascii="Arial" w:hAnsi="Arial" w:cs="Arial"/>
          <w:b/>
          <w:sz w:val="20"/>
          <w:szCs w:val="20"/>
        </w:rPr>
        <w:t xml:space="preserve"> Metric:</w:t>
      </w:r>
      <w:r w:rsidR="006A3E5A" w:rsidRPr="00A870C4">
        <w:rPr>
          <w:rFonts w:ascii="Arial" w:hAnsi="Arial" w:cs="Arial"/>
          <w:b/>
          <w:sz w:val="20"/>
          <w:szCs w:val="20"/>
        </w:rPr>
        <w:t xml:space="preserve"> </w:t>
      </w:r>
      <w:r w:rsidR="009B1AF3" w:rsidRPr="00A870C4">
        <w:rPr>
          <w:rFonts w:ascii="Arial" w:hAnsi="Arial" w:cs="Arial"/>
          <w:sz w:val="20"/>
          <w:szCs w:val="20"/>
        </w:rPr>
        <w:t xml:space="preserve">Meets or exceeds prior performance average for all projects across the continuum.  </w:t>
      </w:r>
    </w:p>
    <w:p w14:paraId="0F29824E" w14:textId="11DEEC4D" w:rsidR="009B1AF3" w:rsidRPr="00DA458A" w:rsidRDefault="00545A47" w:rsidP="004226C6">
      <w:pPr>
        <w:pStyle w:val="ListParagraph"/>
        <w:numPr>
          <w:ilvl w:val="0"/>
          <w:numId w:val="6"/>
        </w:numPr>
        <w:spacing w:after="0" w:line="240" w:lineRule="auto"/>
        <w:rPr>
          <w:rFonts w:ascii="Arial" w:hAnsi="Arial" w:cs="Arial"/>
          <w:b/>
          <w:color w:val="FF0000"/>
          <w:sz w:val="20"/>
          <w:szCs w:val="20"/>
        </w:rPr>
      </w:pPr>
      <w:r w:rsidRPr="00A870C4">
        <w:rPr>
          <w:rFonts w:ascii="Arial" w:hAnsi="Arial" w:cs="Arial"/>
          <w:b/>
          <w:sz w:val="20"/>
          <w:szCs w:val="20"/>
        </w:rPr>
        <w:t xml:space="preserve">Calculation: </w:t>
      </w:r>
      <w:r w:rsidR="009B1AF3" w:rsidRPr="00A870C4">
        <w:rPr>
          <w:rFonts w:ascii="Arial" w:hAnsi="Arial" w:cs="Arial"/>
          <w:sz w:val="20"/>
          <w:szCs w:val="20"/>
        </w:rPr>
        <w:t xml:space="preserve">Determined by the number of </w:t>
      </w:r>
      <w:r w:rsidR="00E32AEF">
        <w:rPr>
          <w:rFonts w:ascii="Arial" w:hAnsi="Arial" w:cs="Arial"/>
          <w:sz w:val="20"/>
          <w:szCs w:val="20"/>
        </w:rPr>
        <w:t>adults</w:t>
      </w:r>
      <w:r w:rsidR="009B1AF3" w:rsidRPr="00A870C4">
        <w:rPr>
          <w:rFonts w:ascii="Arial" w:hAnsi="Arial" w:cs="Arial"/>
          <w:sz w:val="20"/>
          <w:szCs w:val="20"/>
        </w:rPr>
        <w:t xml:space="preserve"> who </w:t>
      </w:r>
      <w:r w:rsidR="009B1AF3" w:rsidRPr="00FF137F">
        <w:rPr>
          <w:rFonts w:ascii="Arial" w:hAnsi="Arial" w:cs="Arial"/>
          <w:sz w:val="20"/>
          <w:szCs w:val="20"/>
        </w:rPr>
        <w:t>were reported to have retained, gained or increased their ear</w:t>
      </w:r>
      <w:r w:rsidR="00E32AEF" w:rsidRPr="00FF137F">
        <w:rPr>
          <w:rFonts w:ascii="Arial" w:hAnsi="Arial" w:cs="Arial"/>
          <w:sz w:val="20"/>
          <w:szCs w:val="20"/>
        </w:rPr>
        <w:t>ned income as reported on APR Q19a3</w:t>
      </w:r>
      <w:r w:rsidR="009B1AF3" w:rsidRPr="00FF137F">
        <w:rPr>
          <w:rFonts w:ascii="Arial" w:hAnsi="Arial" w:cs="Arial"/>
          <w:sz w:val="20"/>
          <w:szCs w:val="20"/>
        </w:rPr>
        <w:t xml:space="preserve">, line 3, </w:t>
      </w:r>
      <w:r w:rsidR="00FF137F" w:rsidRPr="00FF137F">
        <w:rPr>
          <w:rFonts w:ascii="Arial" w:hAnsi="Arial" w:cs="Arial"/>
          <w:sz w:val="20"/>
          <w:szCs w:val="20"/>
        </w:rPr>
        <w:t xml:space="preserve">columns “Retained Income w/ Same $ at Exit/Latest”, “Retained Income Category w/ More $ at Exit/Latest”, and “Did Not Have at </w:t>
      </w:r>
      <w:r w:rsidR="00FF137F" w:rsidRPr="00DA458A">
        <w:rPr>
          <w:rFonts w:ascii="Arial" w:hAnsi="Arial" w:cs="Arial"/>
          <w:sz w:val="20"/>
          <w:szCs w:val="20"/>
        </w:rPr>
        <w:t>Entry Gained at Exit/Latest”.</w:t>
      </w:r>
      <w:r w:rsidR="009B1AF3" w:rsidRPr="00DA458A">
        <w:rPr>
          <w:rFonts w:ascii="Arial" w:hAnsi="Arial" w:cs="Arial"/>
          <w:sz w:val="20"/>
          <w:szCs w:val="20"/>
        </w:rPr>
        <w:t xml:space="preserve"> </w:t>
      </w:r>
    </w:p>
    <w:p w14:paraId="0E8EC142" w14:textId="0D97CB24" w:rsidR="009B1AF3" w:rsidRPr="00DA458A" w:rsidRDefault="009B1AF3" w:rsidP="004226C6">
      <w:pPr>
        <w:pStyle w:val="ListParagraph"/>
        <w:numPr>
          <w:ilvl w:val="1"/>
          <w:numId w:val="6"/>
        </w:numPr>
        <w:spacing w:after="0" w:line="240" w:lineRule="auto"/>
        <w:rPr>
          <w:rFonts w:ascii="Arial" w:hAnsi="Arial" w:cs="Arial"/>
          <w:b/>
          <w:color w:val="FF0000"/>
          <w:sz w:val="20"/>
          <w:szCs w:val="20"/>
        </w:rPr>
      </w:pPr>
      <w:r w:rsidRPr="00DA458A">
        <w:rPr>
          <w:rFonts w:ascii="Arial" w:hAnsi="Arial" w:cs="Arial"/>
          <w:sz w:val="20"/>
          <w:szCs w:val="20"/>
        </w:rPr>
        <w:t>Calculated by adding data reported in APRQ</w:t>
      </w:r>
      <w:r w:rsidR="004A7580" w:rsidRPr="00DA458A">
        <w:rPr>
          <w:rFonts w:ascii="Arial" w:hAnsi="Arial" w:cs="Arial"/>
          <w:sz w:val="20"/>
          <w:szCs w:val="20"/>
        </w:rPr>
        <w:t>19a3</w:t>
      </w:r>
      <w:r w:rsidRPr="00DA458A">
        <w:rPr>
          <w:rFonts w:ascii="Arial" w:hAnsi="Arial" w:cs="Arial"/>
          <w:sz w:val="20"/>
          <w:szCs w:val="20"/>
        </w:rPr>
        <w:t>, line 3 and dividi</w:t>
      </w:r>
      <w:r w:rsidR="00205657" w:rsidRPr="00DA458A">
        <w:rPr>
          <w:rFonts w:ascii="Arial" w:hAnsi="Arial" w:cs="Arial"/>
          <w:sz w:val="20"/>
          <w:szCs w:val="20"/>
        </w:rPr>
        <w:t>ng by the total number of adults</w:t>
      </w:r>
      <w:r w:rsidR="00C974CF">
        <w:rPr>
          <w:rFonts w:ascii="Arial" w:hAnsi="Arial" w:cs="Arial"/>
          <w:sz w:val="20"/>
          <w:szCs w:val="20"/>
        </w:rPr>
        <w:t xml:space="preserve"> with an update assessment</w:t>
      </w:r>
      <w:r w:rsidR="00205657" w:rsidRPr="00DA458A">
        <w:rPr>
          <w:rFonts w:ascii="Arial" w:hAnsi="Arial" w:cs="Arial"/>
          <w:sz w:val="20"/>
          <w:szCs w:val="20"/>
        </w:rPr>
        <w:t xml:space="preserve"> </w:t>
      </w:r>
      <w:r w:rsidRPr="00DA458A">
        <w:rPr>
          <w:rFonts w:ascii="Arial" w:hAnsi="Arial" w:cs="Arial"/>
          <w:sz w:val="20"/>
          <w:szCs w:val="20"/>
        </w:rPr>
        <w:t>in the reporting period.</w:t>
      </w:r>
    </w:p>
    <w:p w14:paraId="07D47714" w14:textId="6F706ED7" w:rsidR="009B1AF3" w:rsidRPr="00DA458A" w:rsidRDefault="00BB4C55" w:rsidP="004226C6">
      <w:pPr>
        <w:pStyle w:val="ListParagraph"/>
        <w:numPr>
          <w:ilvl w:val="1"/>
          <w:numId w:val="6"/>
        </w:numPr>
        <w:spacing w:after="0" w:line="240" w:lineRule="auto"/>
        <w:rPr>
          <w:rFonts w:ascii="Arial" w:hAnsi="Arial" w:cs="Arial"/>
          <w:b/>
          <w:color w:val="FF0000"/>
          <w:sz w:val="20"/>
          <w:szCs w:val="20"/>
        </w:rPr>
      </w:pPr>
      <w:r>
        <w:rPr>
          <w:rFonts w:ascii="Arial" w:hAnsi="Arial" w:cs="Arial"/>
          <w:sz w:val="20"/>
          <w:szCs w:val="20"/>
        </w:rPr>
        <w:t xml:space="preserve">Example: </w:t>
      </w:r>
      <w:r w:rsidR="009B1AF3" w:rsidRPr="00DA458A">
        <w:rPr>
          <w:rFonts w:ascii="Arial" w:hAnsi="Arial" w:cs="Arial"/>
          <w:sz w:val="20"/>
          <w:szCs w:val="20"/>
        </w:rPr>
        <w:t>Q</w:t>
      </w:r>
      <w:r w:rsidR="00205657" w:rsidRPr="00DA458A">
        <w:rPr>
          <w:rFonts w:ascii="Arial" w:hAnsi="Arial" w:cs="Arial"/>
          <w:sz w:val="20"/>
          <w:szCs w:val="20"/>
        </w:rPr>
        <w:t>19a3</w:t>
      </w:r>
      <w:r w:rsidR="009B1AF3" w:rsidRPr="00DA458A">
        <w:rPr>
          <w:rFonts w:ascii="Arial" w:hAnsi="Arial" w:cs="Arial"/>
          <w:sz w:val="20"/>
          <w:szCs w:val="20"/>
        </w:rPr>
        <w:t xml:space="preserve"> states 6 adult</w:t>
      </w:r>
      <w:r w:rsidR="00205657" w:rsidRPr="00DA458A">
        <w:rPr>
          <w:rFonts w:ascii="Arial" w:hAnsi="Arial" w:cs="Arial"/>
          <w:sz w:val="20"/>
          <w:szCs w:val="20"/>
        </w:rPr>
        <w:t xml:space="preserve">s </w:t>
      </w:r>
      <w:r w:rsidR="009B1AF3" w:rsidRPr="00DA458A">
        <w:rPr>
          <w:rFonts w:ascii="Arial" w:hAnsi="Arial" w:cs="Arial"/>
          <w:sz w:val="20"/>
          <w:szCs w:val="20"/>
        </w:rPr>
        <w:t>as “</w:t>
      </w:r>
      <w:r w:rsidR="00205657" w:rsidRPr="00DA458A">
        <w:rPr>
          <w:rFonts w:ascii="Arial" w:hAnsi="Arial" w:cs="Arial"/>
          <w:sz w:val="20"/>
          <w:szCs w:val="20"/>
        </w:rPr>
        <w:t>Retained Income w/ Same $ at Exit/Latest</w:t>
      </w:r>
      <w:r w:rsidR="009B1AF3" w:rsidRPr="00DA458A">
        <w:rPr>
          <w:rFonts w:ascii="Arial" w:hAnsi="Arial" w:cs="Arial"/>
          <w:sz w:val="20"/>
          <w:szCs w:val="20"/>
        </w:rPr>
        <w:t xml:space="preserve">”, 2 </w:t>
      </w:r>
      <w:r w:rsidR="00DA458A" w:rsidRPr="00DA458A">
        <w:rPr>
          <w:rFonts w:ascii="Arial" w:hAnsi="Arial" w:cs="Arial"/>
          <w:sz w:val="20"/>
          <w:szCs w:val="20"/>
        </w:rPr>
        <w:t>adults</w:t>
      </w:r>
      <w:r w:rsidR="009B1AF3" w:rsidRPr="00DA458A">
        <w:rPr>
          <w:rFonts w:ascii="Arial" w:hAnsi="Arial" w:cs="Arial"/>
          <w:sz w:val="20"/>
          <w:szCs w:val="20"/>
        </w:rPr>
        <w:t xml:space="preserve"> “</w:t>
      </w:r>
      <w:r w:rsidR="00DA458A" w:rsidRPr="00DA458A">
        <w:rPr>
          <w:rFonts w:ascii="Arial" w:hAnsi="Arial" w:cs="Arial"/>
          <w:sz w:val="20"/>
          <w:szCs w:val="20"/>
        </w:rPr>
        <w:t>Retained Income w/ Same $ at Exit/Latest</w:t>
      </w:r>
      <w:r w:rsidR="009B1AF3" w:rsidRPr="00DA458A">
        <w:rPr>
          <w:rFonts w:ascii="Arial" w:hAnsi="Arial" w:cs="Arial"/>
          <w:sz w:val="20"/>
          <w:szCs w:val="20"/>
        </w:rPr>
        <w:t xml:space="preserve">”, and 5 </w:t>
      </w:r>
      <w:r w:rsidR="00DA458A" w:rsidRPr="00DA458A">
        <w:rPr>
          <w:rFonts w:ascii="Arial" w:hAnsi="Arial" w:cs="Arial"/>
          <w:sz w:val="20"/>
          <w:szCs w:val="20"/>
        </w:rPr>
        <w:t>adults</w:t>
      </w:r>
      <w:r w:rsidR="009B1AF3" w:rsidRPr="00DA458A">
        <w:rPr>
          <w:rFonts w:ascii="Arial" w:hAnsi="Arial" w:cs="Arial"/>
          <w:sz w:val="20"/>
          <w:szCs w:val="20"/>
        </w:rPr>
        <w:t xml:space="preserve"> “</w:t>
      </w:r>
      <w:r w:rsidR="00DA458A" w:rsidRPr="00DA458A">
        <w:rPr>
          <w:rFonts w:ascii="Arial" w:hAnsi="Arial" w:cs="Arial"/>
          <w:sz w:val="20"/>
          <w:szCs w:val="20"/>
        </w:rPr>
        <w:t>Did Not Have at Entry Gained at Exit/Latest</w:t>
      </w:r>
      <w:r w:rsidR="009B1AF3" w:rsidRPr="00DA458A">
        <w:rPr>
          <w:rFonts w:ascii="Arial" w:hAnsi="Arial" w:cs="Arial"/>
          <w:sz w:val="20"/>
          <w:szCs w:val="20"/>
        </w:rPr>
        <w:t xml:space="preserve">”. </w:t>
      </w:r>
      <w:r w:rsidR="00DA458A" w:rsidRPr="00DA458A">
        <w:rPr>
          <w:rFonts w:ascii="Arial" w:hAnsi="Arial" w:cs="Arial"/>
          <w:sz w:val="20"/>
          <w:szCs w:val="20"/>
        </w:rPr>
        <w:t xml:space="preserve">There </w:t>
      </w:r>
      <w:r w:rsidR="004F6E8B" w:rsidRPr="00DA458A">
        <w:rPr>
          <w:rFonts w:ascii="Arial" w:hAnsi="Arial" w:cs="Arial"/>
          <w:sz w:val="20"/>
          <w:szCs w:val="20"/>
        </w:rPr>
        <w:t>is</w:t>
      </w:r>
      <w:r w:rsidR="00DA458A" w:rsidRPr="00DA458A">
        <w:rPr>
          <w:rFonts w:ascii="Arial" w:hAnsi="Arial" w:cs="Arial"/>
          <w:sz w:val="20"/>
          <w:szCs w:val="20"/>
        </w:rPr>
        <w:t xml:space="preserve"> a total of 20 adults reported</w:t>
      </w:r>
      <w:r w:rsidR="009B1AF3" w:rsidRPr="00DA458A">
        <w:rPr>
          <w:rFonts w:ascii="Arial" w:hAnsi="Arial" w:cs="Arial"/>
          <w:sz w:val="20"/>
          <w:szCs w:val="20"/>
        </w:rPr>
        <w:t>. (6+2+5)/20=65%</w:t>
      </w:r>
    </w:p>
    <w:p w14:paraId="4F643887" w14:textId="14A8FA2C" w:rsidR="0056004C" w:rsidRPr="00A870C4" w:rsidRDefault="0056004C" w:rsidP="009B1AF3">
      <w:pPr>
        <w:spacing w:after="0" w:line="240" w:lineRule="auto"/>
        <w:rPr>
          <w:rFonts w:ascii="Arial" w:hAnsi="Arial" w:cs="Arial"/>
          <w:b/>
          <w:sz w:val="20"/>
          <w:szCs w:val="20"/>
        </w:rPr>
      </w:pPr>
    </w:p>
    <w:p w14:paraId="1700CAEA" w14:textId="29943904" w:rsidR="00383035" w:rsidRPr="00A870C4" w:rsidRDefault="0017709F" w:rsidP="004226C6">
      <w:pPr>
        <w:pStyle w:val="ListParagraph"/>
        <w:numPr>
          <w:ilvl w:val="1"/>
          <w:numId w:val="2"/>
        </w:numPr>
        <w:spacing w:after="0" w:line="240" w:lineRule="auto"/>
        <w:rPr>
          <w:rFonts w:ascii="Arial" w:hAnsi="Arial" w:cs="Arial"/>
          <w:b/>
          <w:sz w:val="20"/>
          <w:szCs w:val="20"/>
        </w:rPr>
      </w:pPr>
      <w:r w:rsidRPr="00A870C4">
        <w:rPr>
          <w:rFonts w:ascii="Arial" w:hAnsi="Arial" w:cs="Arial"/>
          <w:b/>
          <w:sz w:val="20"/>
          <w:szCs w:val="20"/>
        </w:rPr>
        <w:t>Percentage of leavers who exited to shelter, streets, or unknown</w:t>
      </w:r>
    </w:p>
    <w:p w14:paraId="53EC2B51" w14:textId="0000F554" w:rsidR="002A0033" w:rsidRPr="00A870C4" w:rsidRDefault="00383035" w:rsidP="004226C6">
      <w:pPr>
        <w:pStyle w:val="ListParagraph"/>
        <w:numPr>
          <w:ilvl w:val="0"/>
          <w:numId w:val="7"/>
        </w:numPr>
        <w:spacing w:after="0" w:line="240" w:lineRule="auto"/>
        <w:rPr>
          <w:rFonts w:ascii="Arial" w:hAnsi="Arial" w:cs="Arial"/>
          <w:b/>
          <w:sz w:val="20"/>
          <w:szCs w:val="20"/>
        </w:rPr>
      </w:pPr>
      <w:r w:rsidRPr="00A870C4">
        <w:rPr>
          <w:rFonts w:ascii="Arial" w:hAnsi="Arial" w:cs="Arial"/>
          <w:b/>
          <w:sz w:val="20"/>
          <w:szCs w:val="20"/>
        </w:rPr>
        <w:t>Purpose:</w:t>
      </w:r>
      <w:r w:rsidR="00A42288" w:rsidRPr="00A870C4">
        <w:rPr>
          <w:rFonts w:ascii="Arial" w:hAnsi="Arial" w:cs="Arial"/>
          <w:b/>
          <w:sz w:val="20"/>
          <w:szCs w:val="20"/>
        </w:rPr>
        <w:t xml:space="preserve"> </w:t>
      </w:r>
      <w:r w:rsidR="00AE5A35" w:rsidRPr="00A870C4">
        <w:rPr>
          <w:rFonts w:ascii="Arial" w:hAnsi="Arial" w:cs="Arial"/>
          <w:sz w:val="20"/>
          <w:szCs w:val="20"/>
        </w:rPr>
        <w:t xml:space="preserve">Indicates if clients who exit the program are </w:t>
      </w:r>
      <w:r w:rsidR="002A0033" w:rsidRPr="00A870C4">
        <w:rPr>
          <w:rFonts w:ascii="Arial" w:hAnsi="Arial" w:cs="Arial"/>
          <w:sz w:val="20"/>
          <w:szCs w:val="20"/>
        </w:rPr>
        <w:t xml:space="preserve">immediately </w:t>
      </w:r>
      <w:r w:rsidR="00AE5A35" w:rsidRPr="00A870C4">
        <w:rPr>
          <w:rFonts w:ascii="Arial" w:hAnsi="Arial" w:cs="Arial"/>
          <w:sz w:val="20"/>
          <w:szCs w:val="20"/>
        </w:rPr>
        <w:t>returning to homelessness.</w:t>
      </w:r>
    </w:p>
    <w:p w14:paraId="2163826C" w14:textId="0B68F0D7" w:rsidR="002A0033" w:rsidRPr="00A870C4" w:rsidRDefault="00AA0D87" w:rsidP="004226C6">
      <w:pPr>
        <w:pStyle w:val="ListParagraph"/>
        <w:numPr>
          <w:ilvl w:val="0"/>
          <w:numId w:val="7"/>
        </w:numPr>
        <w:spacing w:after="0" w:line="240" w:lineRule="auto"/>
        <w:rPr>
          <w:rFonts w:ascii="Arial" w:hAnsi="Arial" w:cs="Arial"/>
          <w:b/>
          <w:sz w:val="20"/>
          <w:szCs w:val="20"/>
        </w:rPr>
      </w:pPr>
      <w:r w:rsidRPr="00A870C4">
        <w:rPr>
          <w:rFonts w:ascii="Arial" w:hAnsi="Arial" w:cs="Arial"/>
          <w:b/>
          <w:sz w:val="20"/>
          <w:szCs w:val="20"/>
        </w:rPr>
        <w:t>Scoring</w:t>
      </w:r>
      <w:r w:rsidR="00383035" w:rsidRPr="00A870C4">
        <w:rPr>
          <w:rFonts w:ascii="Arial" w:hAnsi="Arial" w:cs="Arial"/>
          <w:b/>
          <w:sz w:val="20"/>
          <w:szCs w:val="20"/>
        </w:rPr>
        <w:t xml:space="preserve"> Metric:</w:t>
      </w:r>
      <w:r w:rsidR="00832220" w:rsidRPr="00A870C4">
        <w:rPr>
          <w:rFonts w:ascii="Arial" w:hAnsi="Arial" w:cs="Arial"/>
          <w:b/>
          <w:sz w:val="20"/>
          <w:szCs w:val="20"/>
        </w:rPr>
        <w:t xml:space="preserve"> </w:t>
      </w:r>
      <w:r w:rsidR="002A0033" w:rsidRPr="00A870C4">
        <w:rPr>
          <w:rFonts w:ascii="Arial" w:hAnsi="Arial" w:cs="Arial"/>
          <w:sz w:val="20"/>
          <w:szCs w:val="20"/>
        </w:rPr>
        <w:t xml:space="preserve">Meets or exceeds prior performance average for all projects across the continuum.  </w:t>
      </w:r>
    </w:p>
    <w:p w14:paraId="5DAB3C68" w14:textId="5C76946C" w:rsidR="00AE5A35" w:rsidRPr="00A870C4" w:rsidRDefault="00545A47" w:rsidP="004226C6">
      <w:pPr>
        <w:pStyle w:val="ListParagraph"/>
        <w:numPr>
          <w:ilvl w:val="0"/>
          <w:numId w:val="7"/>
        </w:numPr>
        <w:spacing w:after="0" w:line="240" w:lineRule="auto"/>
        <w:rPr>
          <w:rFonts w:ascii="Arial" w:hAnsi="Arial" w:cs="Arial"/>
          <w:b/>
          <w:sz w:val="20"/>
          <w:szCs w:val="20"/>
        </w:rPr>
      </w:pPr>
      <w:r w:rsidRPr="00A870C4">
        <w:rPr>
          <w:rFonts w:ascii="Arial" w:hAnsi="Arial" w:cs="Arial"/>
          <w:b/>
          <w:sz w:val="20"/>
          <w:szCs w:val="20"/>
        </w:rPr>
        <w:t xml:space="preserve">Calculation: </w:t>
      </w:r>
      <w:r w:rsidR="00AE5A35" w:rsidRPr="00A870C4">
        <w:rPr>
          <w:rFonts w:ascii="Arial" w:hAnsi="Arial" w:cs="Arial"/>
          <w:sz w:val="20"/>
          <w:szCs w:val="20"/>
        </w:rPr>
        <w:t xml:space="preserve">Measured using the number of leavers </w:t>
      </w:r>
      <w:r w:rsidR="00E32AEF">
        <w:rPr>
          <w:rFonts w:ascii="Arial" w:hAnsi="Arial" w:cs="Arial"/>
          <w:sz w:val="20"/>
          <w:szCs w:val="20"/>
        </w:rPr>
        <w:t>reported in APR Q23a and Q23b</w:t>
      </w:r>
      <w:r w:rsidR="002A0033" w:rsidRPr="00A870C4">
        <w:rPr>
          <w:rFonts w:ascii="Arial" w:hAnsi="Arial" w:cs="Arial"/>
          <w:sz w:val="20"/>
          <w:szCs w:val="20"/>
        </w:rPr>
        <w:t xml:space="preserve"> </w:t>
      </w:r>
      <w:r w:rsidR="00AE5A35" w:rsidRPr="00A870C4">
        <w:rPr>
          <w:rFonts w:ascii="Arial" w:hAnsi="Arial" w:cs="Arial"/>
          <w:sz w:val="20"/>
          <w:szCs w:val="20"/>
        </w:rPr>
        <w:t xml:space="preserve">who exited to </w:t>
      </w:r>
      <w:r w:rsidR="002A0033" w:rsidRPr="00A870C4">
        <w:rPr>
          <w:rFonts w:ascii="Arial" w:hAnsi="Arial" w:cs="Arial"/>
          <w:sz w:val="20"/>
          <w:szCs w:val="20"/>
        </w:rPr>
        <w:t>emergency shelter, place not meant for human habitation and don’t know/refused and</w:t>
      </w:r>
      <w:r w:rsidR="00AE5A35" w:rsidRPr="00A870C4">
        <w:rPr>
          <w:rFonts w:ascii="Arial" w:hAnsi="Arial" w:cs="Arial"/>
          <w:sz w:val="20"/>
          <w:szCs w:val="20"/>
        </w:rPr>
        <w:t xml:space="preserve"> compared to the total number of leavers in the measured year. </w:t>
      </w:r>
    </w:p>
    <w:p w14:paraId="046BDEA6" w14:textId="63B8C56B" w:rsidR="00AE5A35" w:rsidRPr="00A870C4" w:rsidRDefault="00C974CF" w:rsidP="004226C6">
      <w:pPr>
        <w:pStyle w:val="ListParagraph"/>
        <w:numPr>
          <w:ilvl w:val="1"/>
          <w:numId w:val="7"/>
        </w:numPr>
        <w:spacing w:after="0" w:line="240" w:lineRule="auto"/>
        <w:rPr>
          <w:rFonts w:ascii="Arial" w:hAnsi="Arial" w:cs="Arial"/>
          <w:b/>
          <w:sz w:val="20"/>
          <w:szCs w:val="20"/>
        </w:rPr>
      </w:pPr>
      <w:r>
        <w:rPr>
          <w:rFonts w:ascii="Arial" w:hAnsi="Arial" w:cs="Arial"/>
          <w:sz w:val="20"/>
          <w:szCs w:val="20"/>
        </w:rPr>
        <w:t>Calculated by adding</w:t>
      </w:r>
      <w:r w:rsidR="00AE5A35" w:rsidRPr="00A870C4">
        <w:rPr>
          <w:rFonts w:ascii="Arial" w:hAnsi="Arial" w:cs="Arial"/>
          <w:sz w:val="20"/>
          <w:szCs w:val="20"/>
        </w:rPr>
        <w:t xml:space="preserve"> the number of clients who exited to </w:t>
      </w:r>
      <w:r w:rsidR="002A0033" w:rsidRPr="00A870C4">
        <w:rPr>
          <w:rFonts w:ascii="Arial" w:hAnsi="Arial" w:cs="Arial"/>
          <w:sz w:val="20"/>
          <w:szCs w:val="20"/>
        </w:rPr>
        <w:t>emergency shelter, place not meant for human habitation and don’t know/refused</w:t>
      </w:r>
      <w:r w:rsidR="00AE5A35" w:rsidRPr="00A870C4">
        <w:rPr>
          <w:rFonts w:ascii="Arial" w:hAnsi="Arial" w:cs="Arial"/>
          <w:sz w:val="20"/>
          <w:szCs w:val="20"/>
        </w:rPr>
        <w:t xml:space="preserve"> as reported in APR Q2</w:t>
      </w:r>
      <w:r w:rsidR="00E32AEF">
        <w:rPr>
          <w:rFonts w:ascii="Arial" w:hAnsi="Arial" w:cs="Arial"/>
          <w:sz w:val="20"/>
          <w:szCs w:val="20"/>
        </w:rPr>
        <w:t>3a and Q23b</w:t>
      </w:r>
      <w:r w:rsidR="00AE5A35" w:rsidRPr="00A870C4">
        <w:rPr>
          <w:rFonts w:ascii="Arial" w:hAnsi="Arial" w:cs="Arial"/>
          <w:sz w:val="20"/>
          <w:szCs w:val="20"/>
        </w:rPr>
        <w:t xml:space="preserve">, and divided by the total number of leavers. </w:t>
      </w:r>
    </w:p>
    <w:p w14:paraId="3FDD2ADA" w14:textId="00A46A8E" w:rsidR="00AE5A35" w:rsidRPr="00A870C4" w:rsidRDefault="00E6202A" w:rsidP="004226C6">
      <w:pPr>
        <w:pStyle w:val="ListParagraph"/>
        <w:numPr>
          <w:ilvl w:val="1"/>
          <w:numId w:val="7"/>
        </w:numPr>
        <w:spacing w:after="0" w:line="240" w:lineRule="auto"/>
        <w:rPr>
          <w:rFonts w:ascii="Arial" w:hAnsi="Arial" w:cs="Arial"/>
          <w:b/>
          <w:sz w:val="20"/>
          <w:szCs w:val="20"/>
        </w:rPr>
      </w:pPr>
      <w:r>
        <w:rPr>
          <w:rFonts w:ascii="Arial" w:hAnsi="Arial" w:cs="Arial"/>
          <w:sz w:val="20"/>
          <w:szCs w:val="20"/>
        </w:rPr>
        <w:t xml:space="preserve">Example: </w:t>
      </w:r>
      <w:r w:rsidR="00E32AEF">
        <w:rPr>
          <w:rFonts w:ascii="Arial" w:hAnsi="Arial" w:cs="Arial"/>
          <w:sz w:val="20"/>
          <w:szCs w:val="20"/>
        </w:rPr>
        <w:t>APR Q23a and Q23b</w:t>
      </w:r>
      <w:r w:rsidR="00AE5A35" w:rsidRPr="00A870C4">
        <w:rPr>
          <w:rFonts w:ascii="Arial" w:hAnsi="Arial" w:cs="Arial"/>
          <w:sz w:val="20"/>
          <w:szCs w:val="20"/>
        </w:rPr>
        <w:t xml:space="preserve"> states that there are 6 participants who have exited to </w:t>
      </w:r>
      <w:r w:rsidR="002A0033" w:rsidRPr="00A870C4">
        <w:rPr>
          <w:rFonts w:ascii="Arial" w:hAnsi="Arial" w:cs="Arial"/>
          <w:sz w:val="20"/>
          <w:szCs w:val="20"/>
        </w:rPr>
        <w:t>emergency shelter</w:t>
      </w:r>
      <w:r w:rsidR="00AE5A35" w:rsidRPr="00A870C4">
        <w:rPr>
          <w:rFonts w:ascii="Arial" w:hAnsi="Arial" w:cs="Arial"/>
          <w:sz w:val="20"/>
          <w:szCs w:val="20"/>
        </w:rPr>
        <w:t xml:space="preserve">, 3 who exited to </w:t>
      </w:r>
      <w:r w:rsidR="002A0033" w:rsidRPr="00A870C4">
        <w:rPr>
          <w:rFonts w:ascii="Arial" w:hAnsi="Arial" w:cs="Arial"/>
          <w:sz w:val="20"/>
          <w:szCs w:val="20"/>
        </w:rPr>
        <w:t>a place not meant for human habitation</w:t>
      </w:r>
      <w:r w:rsidR="00AE5A35" w:rsidRPr="00A870C4">
        <w:rPr>
          <w:rFonts w:ascii="Arial" w:hAnsi="Arial" w:cs="Arial"/>
          <w:sz w:val="20"/>
          <w:szCs w:val="20"/>
        </w:rPr>
        <w:t xml:space="preserve"> and 1 who</w:t>
      </w:r>
      <w:r w:rsidR="002A0033" w:rsidRPr="00A870C4">
        <w:rPr>
          <w:rFonts w:ascii="Arial" w:hAnsi="Arial" w:cs="Arial"/>
          <w:sz w:val="20"/>
          <w:szCs w:val="20"/>
        </w:rPr>
        <w:t>’s</w:t>
      </w:r>
      <w:r w:rsidR="00AE5A35" w:rsidRPr="00A870C4">
        <w:rPr>
          <w:rFonts w:ascii="Arial" w:hAnsi="Arial" w:cs="Arial"/>
          <w:sz w:val="20"/>
          <w:szCs w:val="20"/>
        </w:rPr>
        <w:t xml:space="preserve"> exit</w:t>
      </w:r>
      <w:r w:rsidR="002A0033" w:rsidRPr="00A870C4">
        <w:rPr>
          <w:rFonts w:ascii="Arial" w:hAnsi="Arial" w:cs="Arial"/>
          <w:sz w:val="20"/>
          <w:szCs w:val="20"/>
        </w:rPr>
        <w:t xml:space="preserve"> destination was unknown;</w:t>
      </w:r>
      <w:r w:rsidR="00AE5A35" w:rsidRPr="00A870C4">
        <w:rPr>
          <w:rFonts w:ascii="Arial" w:hAnsi="Arial" w:cs="Arial"/>
          <w:sz w:val="20"/>
          <w:szCs w:val="20"/>
        </w:rPr>
        <w:t xml:space="preserve"> there were a total of 30 leavers in the project in the year. (6+3+1)/30=33%</w:t>
      </w:r>
    </w:p>
    <w:p w14:paraId="1700CB01" w14:textId="672C57C5" w:rsidR="00CB036B" w:rsidRDefault="00CB036B" w:rsidP="00CB036B">
      <w:pPr>
        <w:spacing w:after="0" w:line="240" w:lineRule="auto"/>
        <w:rPr>
          <w:rFonts w:ascii="Arial" w:hAnsi="Arial" w:cs="Arial"/>
          <w:b/>
          <w:sz w:val="20"/>
          <w:szCs w:val="20"/>
        </w:rPr>
      </w:pPr>
    </w:p>
    <w:p w14:paraId="2B301EAC" w14:textId="26097246" w:rsidR="006C6158" w:rsidRDefault="006C6158" w:rsidP="006C6158">
      <w:pPr>
        <w:spacing w:after="0" w:line="240" w:lineRule="auto"/>
        <w:jc w:val="center"/>
        <w:rPr>
          <w:rFonts w:ascii="Arial" w:hAnsi="Arial" w:cs="Arial"/>
          <w:b/>
          <w:sz w:val="20"/>
          <w:szCs w:val="20"/>
        </w:rPr>
      </w:pPr>
      <w:r>
        <w:rPr>
          <w:rFonts w:ascii="Arial" w:hAnsi="Arial" w:cs="Arial"/>
          <w:b/>
          <w:sz w:val="20"/>
          <w:szCs w:val="20"/>
        </w:rPr>
        <w:t>Section 2</w:t>
      </w:r>
    </w:p>
    <w:p w14:paraId="5371C038" w14:textId="6CF1D3C1" w:rsidR="006C6158" w:rsidRDefault="006C6158" w:rsidP="006C6158">
      <w:pPr>
        <w:spacing w:after="0" w:line="240" w:lineRule="auto"/>
        <w:jc w:val="center"/>
        <w:rPr>
          <w:rFonts w:ascii="Arial" w:hAnsi="Arial" w:cs="Arial"/>
          <w:b/>
          <w:sz w:val="20"/>
          <w:szCs w:val="20"/>
        </w:rPr>
      </w:pPr>
      <w:r>
        <w:rPr>
          <w:rFonts w:ascii="Arial" w:hAnsi="Arial" w:cs="Arial"/>
          <w:b/>
          <w:sz w:val="20"/>
          <w:szCs w:val="20"/>
        </w:rPr>
        <w:t>Utilization &amp; Expenditure (5%)</w:t>
      </w:r>
    </w:p>
    <w:p w14:paraId="14558C20" w14:textId="77777777" w:rsidR="00050F95" w:rsidRPr="006C6158" w:rsidRDefault="00050F95" w:rsidP="006C6158">
      <w:pPr>
        <w:spacing w:after="0" w:line="240" w:lineRule="auto"/>
        <w:jc w:val="center"/>
        <w:rPr>
          <w:rFonts w:ascii="Arial" w:hAnsi="Arial" w:cs="Arial"/>
          <w:b/>
          <w:sz w:val="20"/>
          <w:szCs w:val="20"/>
        </w:rPr>
      </w:pPr>
    </w:p>
    <w:p w14:paraId="74F3EC7B" w14:textId="77777777" w:rsidR="006C6158" w:rsidRPr="00A870C4" w:rsidRDefault="006C6158" w:rsidP="006C6158">
      <w:pPr>
        <w:pStyle w:val="ListParagraph"/>
        <w:numPr>
          <w:ilvl w:val="1"/>
          <w:numId w:val="2"/>
        </w:numPr>
        <w:spacing w:after="0"/>
        <w:rPr>
          <w:rFonts w:ascii="Arial" w:hAnsi="Arial" w:cs="Arial"/>
          <w:b/>
          <w:sz w:val="20"/>
          <w:szCs w:val="20"/>
        </w:rPr>
      </w:pPr>
      <w:r>
        <w:rPr>
          <w:rFonts w:ascii="Arial" w:hAnsi="Arial" w:cs="Arial"/>
          <w:b/>
          <w:sz w:val="20"/>
          <w:szCs w:val="20"/>
        </w:rPr>
        <w:t xml:space="preserve">Quarterly </w:t>
      </w:r>
      <w:r w:rsidRPr="00A870C4">
        <w:rPr>
          <w:rFonts w:ascii="Arial" w:hAnsi="Arial" w:cs="Arial"/>
          <w:b/>
          <w:sz w:val="20"/>
          <w:szCs w:val="20"/>
        </w:rPr>
        <w:t>Occupancy Utilization Rate</w:t>
      </w:r>
    </w:p>
    <w:p w14:paraId="4CC41FB9" w14:textId="17A00A0A" w:rsidR="006C6158" w:rsidRPr="00A870C4" w:rsidRDefault="006C6158" w:rsidP="006C6158">
      <w:pPr>
        <w:pStyle w:val="ListParagraph"/>
        <w:numPr>
          <w:ilvl w:val="0"/>
          <w:numId w:val="1"/>
        </w:numPr>
        <w:rPr>
          <w:rFonts w:ascii="Arial" w:hAnsi="Arial" w:cs="Arial"/>
          <w:sz w:val="20"/>
          <w:szCs w:val="20"/>
        </w:rPr>
      </w:pPr>
      <w:r w:rsidRPr="00A870C4">
        <w:rPr>
          <w:rFonts w:ascii="Arial" w:hAnsi="Arial" w:cs="Arial"/>
          <w:b/>
          <w:sz w:val="20"/>
          <w:szCs w:val="20"/>
        </w:rPr>
        <w:t>Purpose:</w:t>
      </w:r>
      <w:r>
        <w:rPr>
          <w:rFonts w:ascii="Arial" w:hAnsi="Arial" w:cs="Arial"/>
          <w:sz w:val="20"/>
          <w:szCs w:val="20"/>
        </w:rPr>
        <w:t xml:space="preserve"> </w:t>
      </w:r>
      <w:r w:rsidRPr="00A870C4">
        <w:rPr>
          <w:rFonts w:ascii="Arial" w:hAnsi="Arial" w:cs="Arial"/>
          <w:sz w:val="20"/>
          <w:szCs w:val="20"/>
        </w:rPr>
        <w:t>Indicates efficient use of community resources.  High occupancy indicates system efficiency and community demand for service</w:t>
      </w:r>
      <w:r w:rsidR="00C974CF">
        <w:rPr>
          <w:rFonts w:ascii="Arial" w:hAnsi="Arial" w:cs="Arial"/>
          <w:sz w:val="20"/>
          <w:szCs w:val="20"/>
        </w:rPr>
        <w:t>s</w:t>
      </w:r>
      <w:r w:rsidRPr="00A870C4">
        <w:rPr>
          <w:rFonts w:ascii="Arial" w:hAnsi="Arial" w:cs="Arial"/>
          <w:sz w:val="20"/>
          <w:szCs w:val="20"/>
        </w:rPr>
        <w:t xml:space="preserve">.  Project occupancy data is reported to HUD twice a year via the Housing Inventory Chart (HIC) and the Annual Homeless Assessment Report (AHAR). </w:t>
      </w:r>
    </w:p>
    <w:p w14:paraId="1B01CB8F" w14:textId="73F6A6BB" w:rsidR="006C6158" w:rsidRPr="00A870C4" w:rsidRDefault="006C6158" w:rsidP="006C6158">
      <w:pPr>
        <w:pStyle w:val="ListParagraph"/>
        <w:numPr>
          <w:ilvl w:val="0"/>
          <w:numId w:val="1"/>
        </w:numPr>
        <w:rPr>
          <w:rFonts w:ascii="Arial" w:hAnsi="Arial" w:cs="Arial"/>
          <w:sz w:val="20"/>
          <w:szCs w:val="20"/>
        </w:rPr>
      </w:pPr>
      <w:r w:rsidRPr="00A870C4">
        <w:rPr>
          <w:rFonts w:ascii="Arial" w:hAnsi="Arial" w:cs="Arial"/>
          <w:b/>
          <w:sz w:val="20"/>
          <w:szCs w:val="20"/>
        </w:rPr>
        <w:t>Scoring Metric:</w:t>
      </w:r>
      <w:r>
        <w:rPr>
          <w:rFonts w:ascii="Arial" w:hAnsi="Arial" w:cs="Arial"/>
          <w:sz w:val="20"/>
          <w:szCs w:val="20"/>
        </w:rPr>
        <w:t xml:space="preserve"> </w:t>
      </w:r>
      <w:r w:rsidRPr="00A870C4">
        <w:rPr>
          <w:rFonts w:ascii="Arial" w:hAnsi="Arial" w:cs="Arial"/>
          <w:sz w:val="20"/>
          <w:szCs w:val="20"/>
        </w:rPr>
        <w:t xml:space="preserve">Maintains threshold of at least 90-150% of proposed capacity </w:t>
      </w:r>
      <w:r>
        <w:rPr>
          <w:rFonts w:ascii="Arial" w:hAnsi="Arial" w:cs="Arial"/>
          <w:sz w:val="20"/>
          <w:szCs w:val="20"/>
        </w:rPr>
        <w:t>from June 1, 2016 - December 31, 2016</w:t>
      </w:r>
      <w:r w:rsidRPr="00A870C4">
        <w:rPr>
          <w:rFonts w:ascii="Arial" w:hAnsi="Arial" w:cs="Arial"/>
          <w:sz w:val="20"/>
          <w:szCs w:val="20"/>
        </w:rPr>
        <w:t xml:space="preserve"> based on the stated goal in the most recent project application.</w:t>
      </w:r>
      <w:r>
        <w:rPr>
          <w:rFonts w:ascii="Arial" w:hAnsi="Arial" w:cs="Arial"/>
          <w:sz w:val="20"/>
          <w:szCs w:val="20"/>
        </w:rPr>
        <w:t xml:space="preserve"> This date range was chosen due to the re</w:t>
      </w:r>
      <w:r w:rsidR="00C974CF">
        <w:rPr>
          <w:rFonts w:ascii="Arial" w:hAnsi="Arial" w:cs="Arial"/>
          <w:sz w:val="20"/>
          <w:szCs w:val="20"/>
        </w:rPr>
        <w:t xml:space="preserve">design and </w:t>
      </w:r>
      <w:r>
        <w:rPr>
          <w:rFonts w:ascii="Arial" w:hAnsi="Arial" w:cs="Arial"/>
          <w:sz w:val="20"/>
          <w:szCs w:val="20"/>
        </w:rPr>
        <w:t xml:space="preserve">implementation of the Coordinated Entry System. </w:t>
      </w:r>
    </w:p>
    <w:p w14:paraId="2EEAEE23" w14:textId="75F62BC2" w:rsidR="006C6158" w:rsidRPr="00A870C4" w:rsidRDefault="006C6158" w:rsidP="006C6158">
      <w:pPr>
        <w:pStyle w:val="ListParagraph"/>
        <w:numPr>
          <w:ilvl w:val="0"/>
          <w:numId w:val="1"/>
        </w:numPr>
        <w:rPr>
          <w:rFonts w:ascii="Arial" w:hAnsi="Arial" w:cs="Arial"/>
          <w:sz w:val="20"/>
          <w:szCs w:val="20"/>
        </w:rPr>
      </w:pPr>
      <w:r w:rsidRPr="00A870C4">
        <w:rPr>
          <w:rFonts w:ascii="Arial" w:hAnsi="Arial" w:cs="Arial"/>
          <w:b/>
          <w:sz w:val="20"/>
          <w:szCs w:val="20"/>
        </w:rPr>
        <w:t>Calculation:</w:t>
      </w:r>
      <w:r w:rsidRPr="00A870C4">
        <w:rPr>
          <w:rFonts w:ascii="Arial" w:hAnsi="Arial" w:cs="Arial"/>
          <w:sz w:val="20"/>
          <w:szCs w:val="20"/>
        </w:rPr>
        <w:t xml:space="preserve"> Household units served </w:t>
      </w:r>
      <w:r>
        <w:rPr>
          <w:rFonts w:ascii="Arial" w:hAnsi="Arial" w:cs="Arial"/>
          <w:sz w:val="20"/>
          <w:szCs w:val="20"/>
        </w:rPr>
        <w:t>during June 1, 2016 – December 31, 2016</w:t>
      </w:r>
      <w:r w:rsidRPr="00A870C4">
        <w:rPr>
          <w:rFonts w:ascii="Arial" w:hAnsi="Arial" w:cs="Arial"/>
          <w:sz w:val="20"/>
          <w:szCs w:val="20"/>
        </w:rPr>
        <w:t xml:space="preserve"> as reported </w:t>
      </w:r>
      <w:r>
        <w:rPr>
          <w:rFonts w:ascii="Arial" w:hAnsi="Arial" w:cs="Arial"/>
          <w:sz w:val="20"/>
          <w:szCs w:val="20"/>
        </w:rPr>
        <w:t>on APR Q8b</w:t>
      </w:r>
      <w:r w:rsidRPr="00A870C4">
        <w:rPr>
          <w:rFonts w:ascii="Arial" w:hAnsi="Arial" w:cs="Arial"/>
          <w:sz w:val="20"/>
          <w:szCs w:val="20"/>
        </w:rPr>
        <w:t xml:space="preserve"> and compared to proposed unit capaci</w:t>
      </w:r>
      <w:r w:rsidR="001659DF">
        <w:rPr>
          <w:rFonts w:ascii="Arial" w:hAnsi="Arial" w:cs="Arial"/>
          <w:sz w:val="20"/>
          <w:szCs w:val="20"/>
        </w:rPr>
        <w:t>ty in project application, Q4b – Total Units</w:t>
      </w:r>
      <w:r w:rsidRPr="00A870C4">
        <w:rPr>
          <w:rFonts w:ascii="Arial" w:hAnsi="Arial" w:cs="Arial"/>
          <w:sz w:val="20"/>
          <w:szCs w:val="20"/>
        </w:rPr>
        <w:t xml:space="preserve">.  </w:t>
      </w:r>
    </w:p>
    <w:p w14:paraId="05BE8F9B" w14:textId="14556C4A" w:rsidR="006C6158" w:rsidRPr="00304AC8" w:rsidRDefault="006C6158" w:rsidP="006C6158">
      <w:pPr>
        <w:pStyle w:val="ListParagraph"/>
        <w:numPr>
          <w:ilvl w:val="1"/>
          <w:numId w:val="1"/>
        </w:numPr>
        <w:rPr>
          <w:rFonts w:ascii="Arial" w:hAnsi="Arial" w:cs="Arial"/>
          <w:sz w:val="20"/>
          <w:szCs w:val="20"/>
        </w:rPr>
      </w:pPr>
      <w:r w:rsidRPr="00304AC8">
        <w:rPr>
          <w:rFonts w:ascii="Arial" w:hAnsi="Arial" w:cs="Arial"/>
          <w:sz w:val="20"/>
          <w:szCs w:val="20"/>
        </w:rPr>
        <w:t xml:space="preserve">Calculated by </w:t>
      </w:r>
      <w:r w:rsidRPr="001659DF">
        <w:rPr>
          <w:rFonts w:ascii="Arial" w:hAnsi="Arial" w:cs="Arial"/>
          <w:sz w:val="20"/>
          <w:szCs w:val="20"/>
        </w:rPr>
        <w:t>average</w:t>
      </w:r>
      <w:r w:rsidRPr="00304AC8">
        <w:rPr>
          <w:rFonts w:ascii="Arial" w:hAnsi="Arial" w:cs="Arial"/>
          <w:sz w:val="20"/>
          <w:szCs w:val="20"/>
        </w:rPr>
        <w:t xml:space="preserve"> of APR Q8b quarterly households served (June</w:t>
      </w:r>
      <w:r w:rsidR="001659DF">
        <w:rPr>
          <w:rFonts w:ascii="Arial" w:hAnsi="Arial" w:cs="Arial"/>
          <w:sz w:val="20"/>
          <w:szCs w:val="20"/>
        </w:rPr>
        <w:t xml:space="preserve"> – December) divided by Application Q4b</w:t>
      </w:r>
      <w:r w:rsidRPr="00304AC8">
        <w:rPr>
          <w:rFonts w:ascii="Arial" w:hAnsi="Arial" w:cs="Arial"/>
          <w:sz w:val="20"/>
          <w:szCs w:val="20"/>
        </w:rPr>
        <w:t xml:space="preserve"> proposed households served </w:t>
      </w:r>
    </w:p>
    <w:p w14:paraId="53C427A0" w14:textId="218F5E93" w:rsidR="006C6158" w:rsidRDefault="006C6158" w:rsidP="006C6158">
      <w:pPr>
        <w:pStyle w:val="ListParagraph"/>
        <w:numPr>
          <w:ilvl w:val="1"/>
          <w:numId w:val="1"/>
        </w:numPr>
        <w:rPr>
          <w:rFonts w:ascii="Arial" w:hAnsi="Arial" w:cs="Arial"/>
          <w:sz w:val="20"/>
          <w:szCs w:val="20"/>
        </w:rPr>
      </w:pPr>
      <w:r w:rsidRPr="00A870C4">
        <w:rPr>
          <w:rFonts w:ascii="Arial" w:hAnsi="Arial" w:cs="Arial"/>
          <w:sz w:val="20"/>
          <w:szCs w:val="20"/>
        </w:rPr>
        <w:t>Example: Q4</w:t>
      </w:r>
      <w:r w:rsidR="001659DF">
        <w:rPr>
          <w:rFonts w:ascii="Arial" w:hAnsi="Arial" w:cs="Arial"/>
          <w:sz w:val="20"/>
          <w:szCs w:val="20"/>
        </w:rPr>
        <w:t xml:space="preserve">b </w:t>
      </w:r>
      <w:r w:rsidRPr="00A870C4">
        <w:rPr>
          <w:rFonts w:ascii="Arial" w:hAnsi="Arial" w:cs="Arial"/>
          <w:sz w:val="20"/>
          <w:szCs w:val="20"/>
        </w:rPr>
        <w:t>states maximum number of units available is 5 units. Q</w:t>
      </w:r>
      <w:r>
        <w:rPr>
          <w:rFonts w:ascii="Arial" w:hAnsi="Arial" w:cs="Arial"/>
          <w:sz w:val="20"/>
          <w:szCs w:val="20"/>
        </w:rPr>
        <w:t>8b</w:t>
      </w:r>
      <w:r w:rsidRPr="00A870C4">
        <w:rPr>
          <w:rFonts w:ascii="Arial" w:hAnsi="Arial" w:cs="Arial"/>
          <w:sz w:val="20"/>
          <w:szCs w:val="20"/>
        </w:rPr>
        <w:t xml:space="preserve"> show</w:t>
      </w:r>
      <w:r w:rsidR="001005E0">
        <w:rPr>
          <w:rFonts w:ascii="Arial" w:hAnsi="Arial" w:cs="Arial"/>
          <w:sz w:val="20"/>
          <w:szCs w:val="20"/>
        </w:rPr>
        <w:t xml:space="preserve">s an </w:t>
      </w:r>
      <w:r w:rsidR="001005E0" w:rsidRPr="001659DF">
        <w:rPr>
          <w:rFonts w:ascii="Arial" w:hAnsi="Arial" w:cs="Arial"/>
          <w:sz w:val="20"/>
          <w:szCs w:val="20"/>
        </w:rPr>
        <w:t>average of</w:t>
      </w:r>
      <w:r w:rsidR="001005E0">
        <w:rPr>
          <w:rFonts w:ascii="Arial" w:hAnsi="Arial" w:cs="Arial"/>
          <w:sz w:val="20"/>
          <w:szCs w:val="20"/>
        </w:rPr>
        <w:t xml:space="preserve"> 4 units were occupied from June 2016 – December 2016</w:t>
      </w:r>
      <w:r w:rsidRPr="00A870C4">
        <w:rPr>
          <w:rFonts w:ascii="Arial" w:hAnsi="Arial" w:cs="Arial"/>
          <w:sz w:val="20"/>
          <w:szCs w:val="20"/>
        </w:rPr>
        <w:t xml:space="preserve">. 4/5=80% occupancy for the </w:t>
      </w:r>
      <w:r w:rsidR="001005E0">
        <w:rPr>
          <w:rFonts w:ascii="Arial" w:hAnsi="Arial" w:cs="Arial"/>
          <w:sz w:val="20"/>
          <w:szCs w:val="20"/>
        </w:rPr>
        <w:t>specified date range</w:t>
      </w:r>
      <w:r w:rsidRPr="00A870C4">
        <w:rPr>
          <w:rFonts w:ascii="Arial" w:hAnsi="Arial" w:cs="Arial"/>
          <w:sz w:val="20"/>
          <w:szCs w:val="20"/>
        </w:rPr>
        <w:t>.</w:t>
      </w:r>
    </w:p>
    <w:p w14:paraId="485FD485" w14:textId="7C65EE27" w:rsidR="006C6158" w:rsidRDefault="006C6158" w:rsidP="006C6158">
      <w:pPr>
        <w:pStyle w:val="ListParagraph"/>
        <w:ind w:left="1440"/>
        <w:rPr>
          <w:rFonts w:ascii="Arial" w:hAnsi="Arial" w:cs="Arial"/>
          <w:sz w:val="20"/>
          <w:szCs w:val="20"/>
        </w:rPr>
      </w:pPr>
    </w:p>
    <w:p w14:paraId="6D6E44C7" w14:textId="77777777" w:rsidR="00214438" w:rsidRPr="006C6158" w:rsidRDefault="00214438" w:rsidP="006C6158">
      <w:pPr>
        <w:pStyle w:val="ListParagraph"/>
        <w:ind w:left="1440"/>
        <w:rPr>
          <w:rFonts w:ascii="Arial" w:hAnsi="Arial" w:cs="Arial"/>
          <w:sz w:val="20"/>
          <w:szCs w:val="20"/>
        </w:rPr>
      </w:pPr>
    </w:p>
    <w:p w14:paraId="64F12A1C" w14:textId="77777777" w:rsidR="006C6158" w:rsidRPr="00A870C4" w:rsidRDefault="006C6158" w:rsidP="006C6158">
      <w:pPr>
        <w:pStyle w:val="ListParagraph"/>
        <w:numPr>
          <w:ilvl w:val="1"/>
          <w:numId w:val="2"/>
        </w:numPr>
        <w:spacing w:after="0" w:line="240" w:lineRule="auto"/>
        <w:rPr>
          <w:rFonts w:ascii="Arial" w:hAnsi="Arial" w:cs="Arial"/>
          <w:b/>
          <w:sz w:val="20"/>
          <w:szCs w:val="20"/>
        </w:rPr>
      </w:pPr>
      <w:r w:rsidRPr="00A870C4">
        <w:rPr>
          <w:rFonts w:ascii="Arial" w:hAnsi="Arial" w:cs="Arial"/>
          <w:b/>
          <w:sz w:val="20"/>
          <w:szCs w:val="20"/>
        </w:rPr>
        <w:lastRenderedPageBreak/>
        <w:t>Percentage of total grant funds that were recaptured in the most recent grant closeout</w:t>
      </w:r>
    </w:p>
    <w:p w14:paraId="12E95DC0" w14:textId="77777777" w:rsidR="006C6158" w:rsidRPr="00A870C4" w:rsidRDefault="006C6158" w:rsidP="006C6158">
      <w:pPr>
        <w:pStyle w:val="ListParagraph"/>
        <w:numPr>
          <w:ilvl w:val="0"/>
          <w:numId w:val="8"/>
        </w:numPr>
        <w:spacing w:after="0" w:line="240" w:lineRule="auto"/>
        <w:rPr>
          <w:rFonts w:ascii="Arial" w:hAnsi="Arial" w:cs="Arial"/>
          <w:b/>
          <w:sz w:val="20"/>
          <w:szCs w:val="20"/>
        </w:rPr>
      </w:pPr>
      <w:r w:rsidRPr="00A870C4">
        <w:rPr>
          <w:rFonts w:ascii="Arial" w:hAnsi="Arial" w:cs="Arial"/>
          <w:b/>
          <w:sz w:val="20"/>
          <w:szCs w:val="20"/>
        </w:rPr>
        <w:t>Purpose:</w:t>
      </w:r>
      <w:r>
        <w:rPr>
          <w:rFonts w:ascii="Arial" w:hAnsi="Arial" w:cs="Arial"/>
          <w:sz w:val="20"/>
          <w:szCs w:val="20"/>
        </w:rPr>
        <w:t xml:space="preserve"> </w:t>
      </w:r>
      <w:r w:rsidRPr="00A870C4">
        <w:rPr>
          <w:rFonts w:ascii="Arial" w:hAnsi="Arial" w:cs="Arial"/>
          <w:sz w:val="20"/>
          <w:szCs w:val="20"/>
        </w:rPr>
        <w:t>It is important to HUD that programs show agency capacity to spend funds allocated in a timely manner and in full and allows for potential fund reallocation of unspent funds during the HUD CoC Competition.</w:t>
      </w:r>
    </w:p>
    <w:p w14:paraId="1DBE3F9B" w14:textId="77777777" w:rsidR="006C6158" w:rsidRPr="00A870C4" w:rsidRDefault="006C6158" w:rsidP="006C6158">
      <w:pPr>
        <w:pStyle w:val="ListParagraph"/>
        <w:numPr>
          <w:ilvl w:val="0"/>
          <w:numId w:val="8"/>
        </w:numPr>
        <w:spacing w:after="0" w:line="240" w:lineRule="auto"/>
        <w:rPr>
          <w:rFonts w:ascii="Arial" w:hAnsi="Arial" w:cs="Arial"/>
          <w:b/>
          <w:sz w:val="20"/>
          <w:szCs w:val="20"/>
        </w:rPr>
      </w:pPr>
      <w:r w:rsidRPr="00A870C4">
        <w:rPr>
          <w:rFonts w:ascii="Arial" w:hAnsi="Arial" w:cs="Arial"/>
          <w:b/>
          <w:sz w:val="20"/>
          <w:szCs w:val="20"/>
        </w:rPr>
        <w:t xml:space="preserve">Scoring Metric: </w:t>
      </w:r>
      <w:r w:rsidRPr="00A870C4">
        <w:rPr>
          <w:rFonts w:ascii="Arial" w:hAnsi="Arial" w:cs="Arial"/>
          <w:sz w:val="20"/>
          <w:szCs w:val="20"/>
        </w:rPr>
        <w:t>Projects with no funds recaptured will be considered as exceeding the minimum requirement.</w:t>
      </w:r>
    </w:p>
    <w:p w14:paraId="269AE145" w14:textId="77777777" w:rsidR="006C6158" w:rsidRDefault="006C6158" w:rsidP="006C6158">
      <w:pPr>
        <w:pStyle w:val="ListParagraph"/>
        <w:numPr>
          <w:ilvl w:val="0"/>
          <w:numId w:val="8"/>
        </w:numPr>
        <w:spacing w:after="0" w:line="240" w:lineRule="auto"/>
        <w:rPr>
          <w:rFonts w:ascii="Arial" w:hAnsi="Arial" w:cs="Arial"/>
          <w:sz w:val="20"/>
          <w:szCs w:val="20"/>
        </w:rPr>
      </w:pPr>
      <w:r w:rsidRPr="00A870C4">
        <w:rPr>
          <w:rFonts w:ascii="Arial" w:hAnsi="Arial" w:cs="Arial"/>
          <w:b/>
          <w:sz w:val="20"/>
          <w:szCs w:val="20"/>
        </w:rPr>
        <w:t xml:space="preserve">Calculation: </w:t>
      </w:r>
      <w:r>
        <w:rPr>
          <w:rFonts w:ascii="Arial" w:hAnsi="Arial" w:cs="Arial"/>
          <w:sz w:val="20"/>
          <w:szCs w:val="20"/>
        </w:rPr>
        <w:t>Project’s</w:t>
      </w:r>
      <w:r w:rsidRPr="00A870C4">
        <w:rPr>
          <w:rFonts w:ascii="Arial" w:hAnsi="Arial" w:cs="Arial"/>
          <w:sz w:val="20"/>
          <w:szCs w:val="20"/>
        </w:rPr>
        <w:t xml:space="preserve"> most recent project closeout letter (or LOCCS information in the absence of a closeout letter from HUD for most recently closed grant year). The amount unspent will be divided by the total grant funds allocated to establish the rate.</w:t>
      </w:r>
    </w:p>
    <w:p w14:paraId="3AABB729" w14:textId="77777777" w:rsidR="006C6158" w:rsidRPr="00A870C4" w:rsidRDefault="006C6158" w:rsidP="00CB036B">
      <w:pPr>
        <w:spacing w:after="0" w:line="240" w:lineRule="auto"/>
        <w:rPr>
          <w:rFonts w:ascii="Arial" w:hAnsi="Arial" w:cs="Arial"/>
          <w:b/>
          <w:sz w:val="20"/>
          <w:szCs w:val="20"/>
        </w:rPr>
      </w:pPr>
    </w:p>
    <w:p w14:paraId="01F91BBB" w14:textId="50444EFF" w:rsidR="008147DF" w:rsidRPr="00B2538D" w:rsidRDefault="008147DF" w:rsidP="00B2538D">
      <w:pPr>
        <w:spacing w:after="0" w:line="240" w:lineRule="auto"/>
        <w:jc w:val="center"/>
        <w:rPr>
          <w:rFonts w:ascii="Arial" w:hAnsi="Arial" w:cs="Arial"/>
          <w:b/>
          <w:sz w:val="20"/>
          <w:szCs w:val="20"/>
        </w:rPr>
      </w:pPr>
      <w:r w:rsidRPr="00B2538D">
        <w:rPr>
          <w:rFonts w:ascii="Arial" w:hAnsi="Arial" w:cs="Arial"/>
          <w:b/>
          <w:sz w:val="20"/>
          <w:szCs w:val="20"/>
        </w:rPr>
        <w:t xml:space="preserve">Section </w:t>
      </w:r>
      <w:r w:rsidR="006C6158">
        <w:rPr>
          <w:rFonts w:ascii="Arial" w:hAnsi="Arial" w:cs="Arial"/>
          <w:b/>
          <w:sz w:val="20"/>
          <w:szCs w:val="20"/>
        </w:rPr>
        <w:t>3</w:t>
      </w:r>
    </w:p>
    <w:p w14:paraId="4CA98CC1" w14:textId="71A4C6E2" w:rsidR="008147DF" w:rsidRPr="00B2538D" w:rsidRDefault="0017709F" w:rsidP="00B2538D">
      <w:pPr>
        <w:spacing w:after="0" w:line="240" w:lineRule="auto"/>
        <w:jc w:val="center"/>
        <w:rPr>
          <w:rFonts w:ascii="Arial" w:hAnsi="Arial" w:cs="Arial"/>
          <w:b/>
          <w:sz w:val="20"/>
          <w:szCs w:val="20"/>
        </w:rPr>
      </w:pPr>
      <w:r w:rsidRPr="00B2538D">
        <w:rPr>
          <w:rFonts w:ascii="Arial" w:hAnsi="Arial" w:cs="Arial"/>
          <w:b/>
          <w:sz w:val="20"/>
          <w:szCs w:val="20"/>
        </w:rPr>
        <w:t>Project Financials</w:t>
      </w:r>
      <w:r w:rsidR="006C6158">
        <w:rPr>
          <w:rFonts w:ascii="Arial" w:hAnsi="Arial" w:cs="Arial"/>
          <w:b/>
          <w:sz w:val="20"/>
          <w:szCs w:val="20"/>
        </w:rPr>
        <w:t xml:space="preserve"> (5%)</w:t>
      </w:r>
    </w:p>
    <w:p w14:paraId="1700CB05" w14:textId="77777777" w:rsidR="004D2718" w:rsidRPr="00A870C4" w:rsidRDefault="004D2718" w:rsidP="004D2718">
      <w:pPr>
        <w:spacing w:after="0" w:line="240" w:lineRule="auto"/>
        <w:rPr>
          <w:rFonts w:ascii="Arial" w:hAnsi="Arial" w:cs="Arial"/>
          <w:b/>
          <w:sz w:val="20"/>
          <w:szCs w:val="20"/>
        </w:rPr>
      </w:pPr>
    </w:p>
    <w:p w14:paraId="05E1514C" w14:textId="77777777" w:rsidR="00F36488" w:rsidRPr="00A870C4" w:rsidRDefault="00F36488" w:rsidP="004226C6">
      <w:pPr>
        <w:pStyle w:val="ListParagraph"/>
        <w:numPr>
          <w:ilvl w:val="1"/>
          <w:numId w:val="2"/>
        </w:numPr>
        <w:spacing w:after="0" w:line="240" w:lineRule="auto"/>
        <w:rPr>
          <w:rFonts w:ascii="Arial" w:hAnsi="Arial" w:cs="Arial"/>
          <w:b/>
          <w:sz w:val="20"/>
          <w:szCs w:val="20"/>
        </w:rPr>
      </w:pPr>
      <w:r w:rsidRPr="00A870C4">
        <w:rPr>
          <w:rFonts w:ascii="Arial" w:hAnsi="Arial" w:cs="Arial"/>
          <w:b/>
          <w:sz w:val="20"/>
          <w:szCs w:val="20"/>
        </w:rPr>
        <w:t xml:space="preserve">Quarterly </w:t>
      </w:r>
      <w:proofErr w:type="spellStart"/>
      <w:r w:rsidRPr="00A870C4">
        <w:rPr>
          <w:rFonts w:ascii="Arial" w:hAnsi="Arial" w:cs="Arial"/>
          <w:b/>
          <w:sz w:val="20"/>
          <w:szCs w:val="20"/>
        </w:rPr>
        <w:t>eLOCCS</w:t>
      </w:r>
      <w:proofErr w:type="spellEnd"/>
      <w:r w:rsidRPr="00A870C4">
        <w:rPr>
          <w:rFonts w:ascii="Arial" w:hAnsi="Arial" w:cs="Arial"/>
          <w:b/>
          <w:sz w:val="20"/>
          <w:szCs w:val="20"/>
        </w:rPr>
        <w:t xml:space="preserve"> draw down rate</w:t>
      </w:r>
    </w:p>
    <w:p w14:paraId="2FF894DF" w14:textId="77777777" w:rsidR="00F36488" w:rsidRPr="00A870C4" w:rsidRDefault="00F36488" w:rsidP="004226C6">
      <w:pPr>
        <w:pStyle w:val="ListParagraph"/>
        <w:numPr>
          <w:ilvl w:val="0"/>
          <w:numId w:val="12"/>
        </w:numPr>
        <w:spacing w:after="0" w:line="240" w:lineRule="auto"/>
        <w:rPr>
          <w:rFonts w:ascii="Arial" w:hAnsi="Arial" w:cs="Arial"/>
          <w:b/>
          <w:sz w:val="20"/>
          <w:szCs w:val="20"/>
        </w:rPr>
      </w:pPr>
      <w:r w:rsidRPr="00A870C4">
        <w:rPr>
          <w:rFonts w:ascii="Arial" w:hAnsi="Arial" w:cs="Arial"/>
          <w:b/>
          <w:sz w:val="20"/>
          <w:szCs w:val="20"/>
        </w:rPr>
        <w:t xml:space="preserve">Purpose: </w:t>
      </w:r>
      <w:r w:rsidRPr="00A870C4">
        <w:rPr>
          <w:rFonts w:ascii="Arial" w:hAnsi="Arial" w:cs="Arial"/>
          <w:sz w:val="20"/>
          <w:szCs w:val="20"/>
        </w:rPr>
        <w:t>It is important to HUD that programs show agency capacity to quarterly drawdown funds during the HUD CoC Competition.</w:t>
      </w:r>
    </w:p>
    <w:p w14:paraId="6E73F4B1" w14:textId="2EF77022" w:rsidR="00F36488" w:rsidRPr="00A870C4" w:rsidRDefault="00F36488" w:rsidP="004226C6">
      <w:pPr>
        <w:pStyle w:val="ListParagraph"/>
        <w:numPr>
          <w:ilvl w:val="0"/>
          <w:numId w:val="12"/>
        </w:numPr>
        <w:spacing w:after="0" w:line="240" w:lineRule="auto"/>
        <w:rPr>
          <w:rFonts w:ascii="Arial" w:hAnsi="Arial" w:cs="Arial"/>
          <w:b/>
          <w:sz w:val="20"/>
          <w:szCs w:val="20"/>
        </w:rPr>
      </w:pPr>
      <w:r w:rsidRPr="00A870C4">
        <w:rPr>
          <w:rFonts w:ascii="Arial" w:hAnsi="Arial" w:cs="Arial"/>
          <w:b/>
          <w:sz w:val="20"/>
          <w:szCs w:val="20"/>
        </w:rPr>
        <w:t xml:space="preserve">Scoring Metric: </w:t>
      </w:r>
      <w:r w:rsidR="001659DF">
        <w:rPr>
          <w:rFonts w:ascii="Arial" w:hAnsi="Arial" w:cs="Arial"/>
          <w:sz w:val="20"/>
          <w:szCs w:val="20"/>
        </w:rPr>
        <w:t>Projects with</w:t>
      </w:r>
      <w:r w:rsidRPr="00A870C4">
        <w:rPr>
          <w:rFonts w:ascii="Arial" w:hAnsi="Arial" w:cs="Arial"/>
          <w:sz w:val="20"/>
          <w:szCs w:val="20"/>
        </w:rPr>
        <w:t xml:space="preserve"> three or more quarterly drawdowns will be considered as exceeding the minimum requirement.</w:t>
      </w:r>
    </w:p>
    <w:p w14:paraId="717F27A7" w14:textId="77777777" w:rsidR="00F36488" w:rsidRPr="00A870C4" w:rsidRDefault="00F36488" w:rsidP="004226C6">
      <w:pPr>
        <w:pStyle w:val="ListParagraph"/>
        <w:numPr>
          <w:ilvl w:val="0"/>
          <w:numId w:val="12"/>
        </w:numPr>
        <w:spacing w:after="0" w:line="240" w:lineRule="auto"/>
        <w:rPr>
          <w:rFonts w:ascii="Arial" w:hAnsi="Arial" w:cs="Arial"/>
          <w:b/>
          <w:sz w:val="20"/>
          <w:szCs w:val="20"/>
        </w:rPr>
      </w:pPr>
      <w:r w:rsidRPr="00A870C4">
        <w:rPr>
          <w:rFonts w:ascii="Arial" w:hAnsi="Arial" w:cs="Arial"/>
          <w:b/>
          <w:sz w:val="20"/>
          <w:szCs w:val="20"/>
        </w:rPr>
        <w:t xml:space="preserve">Calculation: </w:t>
      </w:r>
      <w:r w:rsidRPr="00A870C4">
        <w:rPr>
          <w:rFonts w:ascii="Arial" w:hAnsi="Arial" w:cs="Arial"/>
          <w:sz w:val="20"/>
          <w:szCs w:val="20"/>
        </w:rPr>
        <w:t>Quarterly drawdowns will be self-reported by the project’s corresponding agency. If there are less than three quarterly drawdowns during the project year, the project will not receive any points for this item.</w:t>
      </w:r>
    </w:p>
    <w:p w14:paraId="54A0DB24" w14:textId="77777777" w:rsidR="00F36488" w:rsidRPr="00F36488" w:rsidRDefault="00F36488" w:rsidP="00F36488">
      <w:pPr>
        <w:spacing w:after="0" w:line="240" w:lineRule="auto"/>
        <w:rPr>
          <w:rFonts w:ascii="Arial" w:hAnsi="Arial" w:cs="Arial"/>
          <w:b/>
          <w:sz w:val="20"/>
          <w:szCs w:val="20"/>
        </w:rPr>
      </w:pPr>
    </w:p>
    <w:p w14:paraId="3F09004A" w14:textId="61770C60" w:rsidR="00F36488" w:rsidRPr="00304AC8" w:rsidRDefault="00F36488" w:rsidP="004226C6">
      <w:pPr>
        <w:pStyle w:val="ListParagraph"/>
        <w:numPr>
          <w:ilvl w:val="1"/>
          <w:numId w:val="2"/>
        </w:numPr>
        <w:spacing w:after="0" w:line="240" w:lineRule="auto"/>
        <w:rPr>
          <w:rFonts w:ascii="Arial" w:hAnsi="Arial" w:cs="Arial"/>
          <w:sz w:val="20"/>
          <w:szCs w:val="20"/>
        </w:rPr>
      </w:pPr>
      <w:r w:rsidRPr="00304AC8">
        <w:rPr>
          <w:rFonts w:ascii="Arial" w:hAnsi="Arial" w:cs="Arial"/>
          <w:b/>
          <w:sz w:val="20"/>
          <w:szCs w:val="20"/>
        </w:rPr>
        <w:t xml:space="preserve">Annual cost per </w:t>
      </w:r>
      <w:r w:rsidR="006C6158">
        <w:rPr>
          <w:rFonts w:ascii="Arial" w:hAnsi="Arial" w:cs="Arial"/>
          <w:b/>
          <w:sz w:val="20"/>
          <w:szCs w:val="20"/>
        </w:rPr>
        <w:t xml:space="preserve">successful </w:t>
      </w:r>
      <w:r w:rsidRPr="00304AC8">
        <w:rPr>
          <w:rFonts w:ascii="Arial" w:hAnsi="Arial" w:cs="Arial"/>
          <w:b/>
          <w:sz w:val="20"/>
          <w:szCs w:val="20"/>
        </w:rPr>
        <w:t>exit or retention of P</w:t>
      </w:r>
      <w:r w:rsidR="006C6158">
        <w:rPr>
          <w:rFonts w:ascii="Arial" w:hAnsi="Arial" w:cs="Arial"/>
          <w:b/>
          <w:sz w:val="20"/>
          <w:szCs w:val="20"/>
        </w:rPr>
        <w:t>S</w:t>
      </w:r>
      <w:r w:rsidRPr="00304AC8">
        <w:rPr>
          <w:rFonts w:ascii="Arial" w:hAnsi="Arial" w:cs="Arial"/>
          <w:b/>
          <w:sz w:val="20"/>
          <w:szCs w:val="20"/>
        </w:rPr>
        <w:t>H</w:t>
      </w:r>
    </w:p>
    <w:p w14:paraId="05869297" w14:textId="7FFB48E5" w:rsidR="00304AC8" w:rsidRDefault="00CF2CE6" w:rsidP="00304AC8">
      <w:pPr>
        <w:pStyle w:val="ListParagraph"/>
        <w:numPr>
          <w:ilvl w:val="0"/>
          <w:numId w:val="16"/>
        </w:numPr>
        <w:spacing w:after="0" w:line="240" w:lineRule="auto"/>
        <w:rPr>
          <w:rFonts w:ascii="Arial" w:hAnsi="Arial" w:cs="Arial"/>
          <w:sz w:val="20"/>
          <w:szCs w:val="20"/>
        </w:rPr>
      </w:pPr>
      <w:r w:rsidRPr="00BE6621">
        <w:rPr>
          <w:rFonts w:ascii="Arial" w:hAnsi="Arial" w:cs="Arial"/>
          <w:b/>
          <w:sz w:val="20"/>
          <w:szCs w:val="20"/>
        </w:rPr>
        <w:t>Purpose:</w:t>
      </w:r>
      <w:r w:rsidR="00A4320A" w:rsidRPr="00BE6621">
        <w:rPr>
          <w:rFonts w:ascii="Arial" w:hAnsi="Arial" w:cs="Arial"/>
          <w:b/>
          <w:sz w:val="20"/>
          <w:szCs w:val="20"/>
        </w:rPr>
        <w:t xml:space="preserve"> </w:t>
      </w:r>
      <w:r w:rsidR="00BE6621" w:rsidRPr="00BE6621">
        <w:rPr>
          <w:rFonts w:ascii="Arial" w:hAnsi="Arial" w:cs="Arial"/>
          <w:sz w:val="20"/>
          <w:szCs w:val="20"/>
        </w:rPr>
        <w:t>It is important to HUD that programs demonstrate cost efficiency in terms of</w:t>
      </w:r>
      <w:r w:rsidR="009D240D">
        <w:rPr>
          <w:rFonts w:ascii="Arial" w:hAnsi="Arial" w:cs="Arial"/>
          <w:sz w:val="20"/>
          <w:szCs w:val="20"/>
        </w:rPr>
        <w:t xml:space="preserve"> </w:t>
      </w:r>
      <w:r w:rsidR="00BE6621" w:rsidRPr="00BE6621">
        <w:rPr>
          <w:rFonts w:ascii="Arial" w:hAnsi="Arial" w:cs="Arial"/>
          <w:sz w:val="20"/>
          <w:szCs w:val="20"/>
        </w:rPr>
        <w:t>housing clients.</w:t>
      </w:r>
    </w:p>
    <w:p w14:paraId="067BAEBC" w14:textId="74C6B123" w:rsidR="00CF2CE6" w:rsidRPr="00304AC8" w:rsidRDefault="00CF2CE6" w:rsidP="00304AC8">
      <w:pPr>
        <w:pStyle w:val="ListParagraph"/>
        <w:numPr>
          <w:ilvl w:val="0"/>
          <w:numId w:val="16"/>
        </w:numPr>
        <w:spacing w:after="0" w:line="240" w:lineRule="auto"/>
        <w:rPr>
          <w:rFonts w:ascii="Arial" w:hAnsi="Arial" w:cs="Arial"/>
          <w:sz w:val="20"/>
          <w:szCs w:val="20"/>
        </w:rPr>
      </w:pPr>
      <w:r w:rsidRPr="00304AC8">
        <w:rPr>
          <w:rFonts w:ascii="Arial" w:hAnsi="Arial" w:cs="Arial"/>
          <w:b/>
          <w:sz w:val="20"/>
          <w:szCs w:val="20"/>
        </w:rPr>
        <w:t>Scoring Metric:</w:t>
      </w:r>
      <w:r w:rsidR="00BE6621" w:rsidRPr="00304AC8">
        <w:rPr>
          <w:rFonts w:ascii="Arial" w:hAnsi="Arial" w:cs="Arial"/>
          <w:b/>
          <w:sz w:val="20"/>
          <w:szCs w:val="20"/>
        </w:rPr>
        <w:t xml:space="preserve"> </w:t>
      </w:r>
      <w:r w:rsidR="00BE6621" w:rsidRPr="00304AC8">
        <w:rPr>
          <w:rFonts w:ascii="Arial" w:hAnsi="Arial" w:cs="Arial"/>
          <w:sz w:val="20"/>
          <w:szCs w:val="20"/>
        </w:rPr>
        <w:t>Meets or exceeds performance average for all projects across the continuum.</w:t>
      </w:r>
      <w:r w:rsidR="00692AFA" w:rsidRPr="00304AC8">
        <w:rPr>
          <w:rFonts w:ascii="Arial" w:hAnsi="Arial" w:cs="Arial"/>
          <w:sz w:val="20"/>
          <w:szCs w:val="20"/>
        </w:rPr>
        <w:t xml:space="preserve"> PSH programs will be compared to other PSH pro</w:t>
      </w:r>
      <w:r w:rsidR="00FF137F" w:rsidRPr="00304AC8">
        <w:rPr>
          <w:rFonts w:ascii="Arial" w:hAnsi="Arial" w:cs="Arial"/>
          <w:sz w:val="20"/>
          <w:szCs w:val="20"/>
        </w:rPr>
        <w:t xml:space="preserve">grams only and RRH programs will be compared to other RRH programs only. </w:t>
      </w:r>
    </w:p>
    <w:p w14:paraId="05621568" w14:textId="4A840914" w:rsidR="00CF2CE6" w:rsidRPr="00304AC8" w:rsidRDefault="00CF2CE6" w:rsidP="004226C6">
      <w:pPr>
        <w:pStyle w:val="ListParagraph"/>
        <w:numPr>
          <w:ilvl w:val="0"/>
          <w:numId w:val="16"/>
        </w:numPr>
        <w:spacing w:after="0" w:line="240" w:lineRule="auto"/>
        <w:rPr>
          <w:rFonts w:ascii="Arial" w:hAnsi="Arial" w:cs="Arial"/>
          <w:sz w:val="20"/>
          <w:szCs w:val="20"/>
        </w:rPr>
      </w:pPr>
      <w:r w:rsidRPr="00304AC8">
        <w:rPr>
          <w:rFonts w:ascii="Arial" w:hAnsi="Arial" w:cs="Arial"/>
          <w:b/>
          <w:sz w:val="20"/>
          <w:szCs w:val="20"/>
        </w:rPr>
        <w:t>Calculation:</w:t>
      </w:r>
      <w:r w:rsidR="00F672C6" w:rsidRPr="00304AC8">
        <w:rPr>
          <w:rFonts w:ascii="Arial" w:hAnsi="Arial" w:cs="Arial"/>
          <w:b/>
          <w:sz w:val="20"/>
          <w:szCs w:val="20"/>
        </w:rPr>
        <w:t xml:space="preserve"> </w:t>
      </w:r>
      <w:r w:rsidR="00F672C6" w:rsidRPr="00304AC8">
        <w:rPr>
          <w:rFonts w:ascii="Arial" w:hAnsi="Arial" w:cs="Arial"/>
          <w:sz w:val="20"/>
          <w:szCs w:val="20"/>
        </w:rPr>
        <w:t xml:space="preserve">Total budgets (including match) and proposed number of persons to be served were gathered from FY 2016 </w:t>
      </w:r>
      <w:proofErr w:type="spellStart"/>
      <w:r w:rsidR="00F672C6" w:rsidRPr="00304AC8">
        <w:rPr>
          <w:rFonts w:ascii="Arial" w:hAnsi="Arial" w:cs="Arial"/>
          <w:sz w:val="20"/>
          <w:szCs w:val="20"/>
        </w:rPr>
        <w:t>eSNAPS</w:t>
      </w:r>
      <w:proofErr w:type="spellEnd"/>
      <w:r w:rsidR="00F672C6" w:rsidRPr="00304AC8">
        <w:rPr>
          <w:rFonts w:ascii="Arial" w:hAnsi="Arial" w:cs="Arial"/>
          <w:sz w:val="20"/>
          <w:szCs w:val="20"/>
        </w:rPr>
        <w:t xml:space="preserve"> applications. The cost per person was established for each project. An average cost per person within PSH projects was calculated. This same method was utilized for RRH projects. If a project’s cost per </w:t>
      </w:r>
      <w:r w:rsidR="00D67237">
        <w:rPr>
          <w:rFonts w:ascii="Arial" w:hAnsi="Arial" w:cs="Arial"/>
          <w:sz w:val="20"/>
          <w:szCs w:val="20"/>
        </w:rPr>
        <w:t>successful exit or retention of PSH</w:t>
      </w:r>
      <w:r w:rsidR="00F672C6" w:rsidRPr="00304AC8">
        <w:rPr>
          <w:rFonts w:ascii="Arial" w:hAnsi="Arial" w:cs="Arial"/>
          <w:sz w:val="20"/>
          <w:szCs w:val="20"/>
        </w:rPr>
        <w:t xml:space="preserve"> is </w:t>
      </w:r>
      <w:r w:rsidR="00304AC8" w:rsidRPr="00304AC8">
        <w:rPr>
          <w:rFonts w:ascii="Arial" w:hAnsi="Arial" w:cs="Arial"/>
          <w:sz w:val="20"/>
          <w:szCs w:val="20"/>
        </w:rPr>
        <w:t>within</w:t>
      </w:r>
      <w:r w:rsidR="00F672C6" w:rsidRPr="00304AC8">
        <w:rPr>
          <w:rFonts w:ascii="Arial" w:hAnsi="Arial" w:cs="Arial"/>
          <w:sz w:val="20"/>
          <w:szCs w:val="20"/>
        </w:rPr>
        <w:t xml:space="preserve"> the community average, the project will meet minimum requirements. If a project’s cost </w:t>
      </w:r>
      <w:r w:rsidR="00D67237" w:rsidRPr="00304AC8">
        <w:rPr>
          <w:rFonts w:ascii="Arial" w:hAnsi="Arial" w:cs="Arial"/>
          <w:sz w:val="20"/>
          <w:szCs w:val="20"/>
        </w:rPr>
        <w:t xml:space="preserve">per </w:t>
      </w:r>
      <w:r w:rsidR="00D67237">
        <w:rPr>
          <w:rFonts w:ascii="Arial" w:hAnsi="Arial" w:cs="Arial"/>
          <w:sz w:val="20"/>
          <w:szCs w:val="20"/>
        </w:rPr>
        <w:t>successful exit or retention of PSH</w:t>
      </w:r>
      <w:r w:rsidR="00D67237" w:rsidRPr="00304AC8">
        <w:rPr>
          <w:rFonts w:ascii="Arial" w:hAnsi="Arial" w:cs="Arial"/>
          <w:sz w:val="20"/>
          <w:szCs w:val="20"/>
        </w:rPr>
        <w:t xml:space="preserve"> </w:t>
      </w:r>
      <w:r w:rsidR="00F672C6" w:rsidRPr="00304AC8">
        <w:rPr>
          <w:rFonts w:ascii="Arial" w:hAnsi="Arial" w:cs="Arial"/>
          <w:sz w:val="20"/>
          <w:szCs w:val="20"/>
        </w:rPr>
        <w:t xml:space="preserve">is more than the community average, the project will fail to meet the threshold for this requirement. </w:t>
      </w:r>
    </w:p>
    <w:p w14:paraId="6328D279" w14:textId="0B54F379" w:rsidR="00EB4BF8" w:rsidRPr="00A870C4" w:rsidRDefault="00EB4BF8" w:rsidP="00EB4BF8">
      <w:pPr>
        <w:spacing w:after="0" w:line="240" w:lineRule="auto"/>
        <w:rPr>
          <w:rFonts w:ascii="Arial" w:hAnsi="Arial" w:cs="Arial"/>
          <w:sz w:val="20"/>
          <w:szCs w:val="20"/>
        </w:rPr>
      </w:pPr>
    </w:p>
    <w:p w14:paraId="233C08FE" w14:textId="3D024E57" w:rsidR="008147DF" w:rsidRPr="00B2538D" w:rsidRDefault="008147DF" w:rsidP="00B2538D">
      <w:pPr>
        <w:spacing w:after="0" w:line="240" w:lineRule="auto"/>
        <w:jc w:val="center"/>
        <w:rPr>
          <w:rFonts w:ascii="Arial" w:hAnsi="Arial" w:cs="Arial"/>
          <w:b/>
          <w:sz w:val="20"/>
          <w:szCs w:val="20"/>
        </w:rPr>
      </w:pPr>
      <w:r w:rsidRPr="00B2538D">
        <w:rPr>
          <w:rFonts w:ascii="Arial" w:hAnsi="Arial" w:cs="Arial"/>
          <w:b/>
          <w:sz w:val="20"/>
          <w:szCs w:val="20"/>
        </w:rPr>
        <w:t xml:space="preserve">Section </w:t>
      </w:r>
      <w:r w:rsidR="006C6158">
        <w:rPr>
          <w:rFonts w:ascii="Arial" w:hAnsi="Arial" w:cs="Arial"/>
          <w:b/>
          <w:sz w:val="20"/>
          <w:szCs w:val="20"/>
        </w:rPr>
        <w:t>4</w:t>
      </w:r>
    </w:p>
    <w:p w14:paraId="5131AA8D" w14:textId="5F1614DE" w:rsidR="008147DF" w:rsidRPr="00B2538D" w:rsidRDefault="0017709F" w:rsidP="00B2538D">
      <w:pPr>
        <w:spacing w:after="0" w:line="240" w:lineRule="auto"/>
        <w:jc w:val="center"/>
        <w:rPr>
          <w:rFonts w:ascii="Arial" w:hAnsi="Arial" w:cs="Arial"/>
          <w:b/>
          <w:sz w:val="20"/>
          <w:szCs w:val="20"/>
        </w:rPr>
      </w:pPr>
      <w:r w:rsidRPr="00B2538D">
        <w:rPr>
          <w:rFonts w:ascii="Arial" w:hAnsi="Arial" w:cs="Arial"/>
          <w:b/>
          <w:sz w:val="20"/>
          <w:szCs w:val="20"/>
        </w:rPr>
        <w:t>HMIS</w:t>
      </w:r>
      <w:r w:rsidR="00BC5A77" w:rsidRPr="00B2538D">
        <w:rPr>
          <w:rFonts w:ascii="Arial" w:hAnsi="Arial" w:cs="Arial"/>
          <w:b/>
          <w:sz w:val="20"/>
          <w:szCs w:val="20"/>
        </w:rPr>
        <w:t xml:space="preserve"> &amp; Data Quality</w:t>
      </w:r>
      <w:r w:rsidR="006C6158">
        <w:rPr>
          <w:rFonts w:ascii="Arial" w:hAnsi="Arial" w:cs="Arial"/>
          <w:b/>
          <w:sz w:val="20"/>
          <w:szCs w:val="20"/>
        </w:rPr>
        <w:t xml:space="preserve"> (45%)</w:t>
      </w:r>
    </w:p>
    <w:p w14:paraId="1700CB10" w14:textId="77777777" w:rsidR="006166B7" w:rsidRPr="00A870C4" w:rsidRDefault="006166B7" w:rsidP="000F049F">
      <w:pPr>
        <w:spacing w:after="0" w:line="240" w:lineRule="auto"/>
        <w:rPr>
          <w:rFonts w:ascii="Arial" w:hAnsi="Arial" w:cs="Arial"/>
          <w:b/>
          <w:sz w:val="20"/>
          <w:szCs w:val="20"/>
        </w:rPr>
      </w:pPr>
    </w:p>
    <w:p w14:paraId="1700CB11" w14:textId="407EF480" w:rsidR="000F049F" w:rsidRPr="00BE6621" w:rsidRDefault="001870F8" w:rsidP="004226C6">
      <w:pPr>
        <w:pStyle w:val="ListParagraph"/>
        <w:numPr>
          <w:ilvl w:val="1"/>
          <w:numId w:val="2"/>
        </w:numPr>
        <w:spacing w:after="0" w:line="240" w:lineRule="auto"/>
        <w:rPr>
          <w:rFonts w:ascii="Arial" w:hAnsi="Arial" w:cs="Arial"/>
          <w:b/>
          <w:sz w:val="20"/>
          <w:szCs w:val="20"/>
        </w:rPr>
      </w:pPr>
      <w:r w:rsidRPr="00A870C4">
        <w:rPr>
          <w:rFonts w:ascii="Arial" w:hAnsi="Arial" w:cs="Arial"/>
          <w:b/>
          <w:sz w:val="20"/>
          <w:szCs w:val="20"/>
        </w:rPr>
        <w:t xml:space="preserve"> </w:t>
      </w:r>
      <w:r w:rsidR="00F36488" w:rsidRPr="00BE6621">
        <w:rPr>
          <w:rFonts w:ascii="Arial" w:hAnsi="Arial" w:cs="Arial"/>
          <w:b/>
          <w:sz w:val="20"/>
          <w:szCs w:val="20"/>
        </w:rPr>
        <w:t>Personal Identifying Information Error Rate</w:t>
      </w:r>
    </w:p>
    <w:p w14:paraId="1700CB12" w14:textId="5E0BFD2B" w:rsidR="000F049F" w:rsidRPr="00BE6621" w:rsidRDefault="00394857" w:rsidP="004226C6">
      <w:pPr>
        <w:pStyle w:val="ListParagraph"/>
        <w:numPr>
          <w:ilvl w:val="0"/>
          <w:numId w:val="9"/>
        </w:numPr>
        <w:spacing w:after="0" w:line="240" w:lineRule="auto"/>
        <w:rPr>
          <w:rFonts w:ascii="Arial" w:hAnsi="Arial" w:cs="Arial"/>
          <w:b/>
          <w:sz w:val="20"/>
          <w:szCs w:val="20"/>
        </w:rPr>
      </w:pPr>
      <w:r w:rsidRPr="00BE6621">
        <w:rPr>
          <w:rFonts w:ascii="Arial" w:hAnsi="Arial" w:cs="Arial"/>
          <w:b/>
          <w:sz w:val="20"/>
          <w:szCs w:val="20"/>
        </w:rPr>
        <w:t>Purpose:</w:t>
      </w:r>
      <w:r w:rsidR="00B85304" w:rsidRPr="00BE6621">
        <w:rPr>
          <w:rFonts w:ascii="Arial" w:hAnsi="Arial" w:cs="Arial"/>
          <w:b/>
          <w:sz w:val="20"/>
          <w:szCs w:val="20"/>
        </w:rPr>
        <w:t xml:space="preserve">  </w:t>
      </w:r>
      <w:r w:rsidR="001028BC">
        <w:rPr>
          <w:rFonts w:ascii="Arial" w:hAnsi="Arial" w:cs="Arial"/>
          <w:sz w:val="20"/>
          <w:szCs w:val="20"/>
        </w:rPr>
        <w:t>To</w:t>
      </w:r>
      <w:r w:rsidR="00B26892" w:rsidRPr="00BE6621">
        <w:rPr>
          <w:rFonts w:ascii="Arial" w:hAnsi="Arial" w:cs="Arial"/>
          <w:sz w:val="20"/>
          <w:szCs w:val="20"/>
        </w:rPr>
        <w:t xml:space="preserve"> achieve accurate data collection</w:t>
      </w:r>
      <w:r w:rsidR="002A0033" w:rsidRPr="00BE6621">
        <w:rPr>
          <w:rFonts w:ascii="Arial" w:hAnsi="Arial" w:cs="Arial"/>
          <w:sz w:val="20"/>
          <w:szCs w:val="20"/>
        </w:rPr>
        <w:t xml:space="preserve"> and to satisfy HUD HMIS data requirements, </w:t>
      </w:r>
      <w:r w:rsidR="00B26892" w:rsidRPr="00BE6621">
        <w:rPr>
          <w:rFonts w:ascii="Arial" w:hAnsi="Arial" w:cs="Arial"/>
          <w:sz w:val="20"/>
          <w:szCs w:val="20"/>
        </w:rPr>
        <w:t>projects must ensure that data entered into the local HMIS system is complete.</w:t>
      </w:r>
      <w:r w:rsidR="00B542E2" w:rsidRPr="00BE6621">
        <w:rPr>
          <w:rFonts w:ascii="Arial" w:hAnsi="Arial" w:cs="Arial"/>
          <w:sz w:val="20"/>
          <w:szCs w:val="20"/>
        </w:rPr>
        <w:t xml:space="preserve"> </w:t>
      </w:r>
    </w:p>
    <w:p w14:paraId="33374FD7" w14:textId="2631BDD6" w:rsidR="008C25E0" w:rsidRPr="00BE6621" w:rsidRDefault="00AA0D87" w:rsidP="004226C6">
      <w:pPr>
        <w:pStyle w:val="ListParagraph"/>
        <w:numPr>
          <w:ilvl w:val="0"/>
          <w:numId w:val="9"/>
        </w:numPr>
        <w:spacing w:after="0" w:line="240" w:lineRule="auto"/>
        <w:rPr>
          <w:rFonts w:ascii="Arial" w:hAnsi="Arial" w:cs="Arial"/>
          <w:b/>
          <w:sz w:val="20"/>
          <w:szCs w:val="20"/>
        </w:rPr>
      </w:pPr>
      <w:r w:rsidRPr="00BE6621">
        <w:rPr>
          <w:rFonts w:ascii="Arial" w:hAnsi="Arial" w:cs="Arial"/>
          <w:b/>
          <w:sz w:val="20"/>
          <w:szCs w:val="20"/>
        </w:rPr>
        <w:t>Scoring</w:t>
      </w:r>
      <w:r w:rsidR="00394857" w:rsidRPr="00BE6621">
        <w:rPr>
          <w:rFonts w:ascii="Arial" w:hAnsi="Arial" w:cs="Arial"/>
          <w:b/>
          <w:sz w:val="20"/>
          <w:szCs w:val="20"/>
        </w:rPr>
        <w:t xml:space="preserve"> Metric:</w:t>
      </w:r>
      <w:r w:rsidR="00B542E2" w:rsidRPr="00BE6621">
        <w:rPr>
          <w:rFonts w:ascii="Arial" w:hAnsi="Arial" w:cs="Arial"/>
          <w:b/>
          <w:sz w:val="20"/>
          <w:szCs w:val="20"/>
        </w:rPr>
        <w:t xml:space="preserve">  </w:t>
      </w:r>
      <w:r w:rsidR="00B26892" w:rsidRPr="00BE6621">
        <w:rPr>
          <w:rFonts w:ascii="Arial" w:hAnsi="Arial" w:cs="Arial"/>
          <w:sz w:val="20"/>
          <w:szCs w:val="20"/>
        </w:rPr>
        <w:t xml:space="preserve">Projects </w:t>
      </w:r>
      <w:r w:rsidR="009B6034" w:rsidRPr="00BE6621">
        <w:rPr>
          <w:rFonts w:ascii="Arial" w:hAnsi="Arial" w:cs="Arial"/>
          <w:sz w:val="20"/>
          <w:szCs w:val="20"/>
        </w:rPr>
        <w:t xml:space="preserve">that exceed an error rate of </w:t>
      </w:r>
      <w:r w:rsidR="00EE1919" w:rsidRPr="00BE6621">
        <w:rPr>
          <w:rFonts w:ascii="Arial" w:hAnsi="Arial" w:cs="Arial"/>
          <w:sz w:val="20"/>
          <w:szCs w:val="20"/>
        </w:rPr>
        <w:t>5</w:t>
      </w:r>
      <w:r w:rsidR="00B26892" w:rsidRPr="00BE6621">
        <w:rPr>
          <w:rFonts w:ascii="Arial" w:hAnsi="Arial" w:cs="Arial"/>
          <w:sz w:val="20"/>
          <w:szCs w:val="20"/>
        </w:rPr>
        <w:t xml:space="preserve">% </w:t>
      </w:r>
      <w:r w:rsidR="00EE1919" w:rsidRPr="00BE6621">
        <w:rPr>
          <w:rFonts w:ascii="Arial" w:hAnsi="Arial" w:cs="Arial"/>
          <w:sz w:val="20"/>
          <w:szCs w:val="20"/>
        </w:rPr>
        <w:t>a</w:t>
      </w:r>
      <w:r w:rsidR="002A0033" w:rsidRPr="00BE6621">
        <w:rPr>
          <w:rFonts w:ascii="Arial" w:hAnsi="Arial" w:cs="Arial"/>
          <w:sz w:val="20"/>
          <w:szCs w:val="20"/>
        </w:rPr>
        <w:t xml:space="preserve">s reported on </w:t>
      </w:r>
      <w:r w:rsidR="009B6034" w:rsidRPr="00BE6621">
        <w:rPr>
          <w:rFonts w:ascii="Arial" w:hAnsi="Arial" w:cs="Arial"/>
          <w:sz w:val="20"/>
          <w:szCs w:val="20"/>
        </w:rPr>
        <w:t xml:space="preserve">Q2: Personal Identifying Information on </w:t>
      </w:r>
      <w:r w:rsidR="002A0033" w:rsidRPr="00BE6621">
        <w:rPr>
          <w:rFonts w:ascii="Arial" w:hAnsi="Arial" w:cs="Arial"/>
          <w:sz w:val="20"/>
          <w:szCs w:val="20"/>
        </w:rPr>
        <w:t xml:space="preserve">the </w:t>
      </w:r>
      <w:r w:rsidR="00EE1919" w:rsidRPr="00BE6621">
        <w:rPr>
          <w:rFonts w:ascii="Arial" w:hAnsi="Arial" w:cs="Arial"/>
          <w:sz w:val="20"/>
          <w:szCs w:val="20"/>
        </w:rPr>
        <w:t xml:space="preserve">HUD </w:t>
      </w:r>
      <w:r w:rsidR="006C6158">
        <w:rPr>
          <w:rFonts w:ascii="Arial" w:hAnsi="Arial" w:cs="Arial"/>
          <w:sz w:val="20"/>
          <w:szCs w:val="20"/>
        </w:rPr>
        <w:t>Data Quality</w:t>
      </w:r>
      <w:r w:rsidR="00EE1919" w:rsidRPr="00BE6621">
        <w:rPr>
          <w:rFonts w:ascii="Arial" w:hAnsi="Arial" w:cs="Arial"/>
          <w:sz w:val="20"/>
          <w:szCs w:val="20"/>
        </w:rPr>
        <w:t xml:space="preserve"> Report</w:t>
      </w:r>
      <w:r w:rsidR="00B26892" w:rsidRPr="00BE6621">
        <w:rPr>
          <w:rFonts w:ascii="Arial" w:hAnsi="Arial" w:cs="Arial"/>
          <w:sz w:val="20"/>
          <w:szCs w:val="20"/>
        </w:rPr>
        <w:t xml:space="preserve"> will fail to meet threshold for this measu</w:t>
      </w:r>
      <w:r w:rsidR="002A0033" w:rsidRPr="00BE6621">
        <w:rPr>
          <w:rFonts w:ascii="Arial" w:hAnsi="Arial" w:cs="Arial"/>
          <w:sz w:val="20"/>
          <w:szCs w:val="20"/>
        </w:rPr>
        <w:t xml:space="preserve">rement.  </w:t>
      </w:r>
    </w:p>
    <w:p w14:paraId="1700CB15" w14:textId="7979CB20" w:rsidR="00394857" w:rsidRPr="00BE6621" w:rsidRDefault="00545A47" w:rsidP="004226C6">
      <w:pPr>
        <w:pStyle w:val="ListParagraph"/>
        <w:numPr>
          <w:ilvl w:val="0"/>
          <w:numId w:val="9"/>
        </w:numPr>
        <w:spacing w:after="0" w:line="240" w:lineRule="auto"/>
        <w:rPr>
          <w:rFonts w:ascii="Arial" w:hAnsi="Arial" w:cs="Arial"/>
          <w:b/>
          <w:sz w:val="20"/>
          <w:szCs w:val="20"/>
        </w:rPr>
      </w:pPr>
      <w:r w:rsidRPr="00BE6621">
        <w:rPr>
          <w:rFonts w:ascii="Arial" w:hAnsi="Arial" w:cs="Arial"/>
          <w:b/>
          <w:sz w:val="20"/>
          <w:szCs w:val="20"/>
        </w:rPr>
        <w:t xml:space="preserve">Calculation:  </w:t>
      </w:r>
      <w:r w:rsidR="003775FF" w:rsidRPr="00BE6621">
        <w:rPr>
          <w:rFonts w:ascii="Arial" w:hAnsi="Arial" w:cs="Arial"/>
          <w:sz w:val="20"/>
          <w:szCs w:val="20"/>
        </w:rPr>
        <w:t xml:space="preserve">Error rates will be evaluated based on the </w:t>
      </w:r>
      <w:r w:rsidR="009B6034" w:rsidRPr="00BE6621">
        <w:rPr>
          <w:rFonts w:ascii="Arial" w:hAnsi="Arial" w:cs="Arial"/>
          <w:sz w:val="20"/>
          <w:szCs w:val="20"/>
        </w:rPr>
        <w:t xml:space="preserve">overall error rate percentage for Q2 on the HUD </w:t>
      </w:r>
      <w:r w:rsidR="006C6158">
        <w:rPr>
          <w:rFonts w:ascii="Arial" w:hAnsi="Arial" w:cs="Arial"/>
          <w:sz w:val="20"/>
          <w:szCs w:val="20"/>
        </w:rPr>
        <w:t>Data Quality</w:t>
      </w:r>
      <w:r w:rsidR="009B6034" w:rsidRPr="00BE6621">
        <w:rPr>
          <w:rFonts w:ascii="Arial" w:hAnsi="Arial" w:cs="Arial"/>
          <w:sz w:val="20"/>
          <w:szCs w:val="20"/>
        </w:rPr>
        <w:t xml:space="preserve"> Report. Personal identifying information includes name, social security number, date of birth, race, ethnicity, and gender. The report calculates an error rate for each category and establishes an overall error rate percentage.</w:t>
      </w:r>
      <w:r w:rsidR="009B6034" w:rsidRPr="00BE6621">
        <w:rPr>
          <w:rFonts w:ascii="Arial" w:hAnsi="Arial" w:cs="Arial"/>
          <w:b/>
          <w:sz w:val="20"/>
          <w:szCs w:val="20"/>
        </w:rPr>
        <w:t xml:space="preserve"> </w:t>
      </w:r>
    </w:p>
    <w:p w14:paraId="148AD97A" w14:textId="77777777" w:rsidR="00F36488" w:rsidRPr="00F36488" w:rsidRDefault="00F36488" w:rsidP="00F36488">
      <w:pPr>
        <w:spacing w:after="0" w:line="240" w:lineRule="auto"/>
        <w:rPr>
          <w:rFonts w:ascii="Arial" w:hAnsi="Arial" w:cs="Arial"/>
          <w:b/>
          <w:sz w:val="20"/>
          <w:szCs w:val="20"/>
          <w:highlight w:val="yellow"/>
        </w:rPr>
      </w:pPr>
    </w:p>
    <w:p w14:paraId="42B4F158" w14:textId="2C995813" w:rsidR="00F36488" w:rsidRPr="00BE6621" w:rsidRDefault="00F36488" w:rsidP="004226C6">
      <w:pPr>
        <w:pStyle w:val="ListParagraph"/>
        <w:numPr>
          <w:ilvl w:val="1"/>
          <w:numId w:val="2"/>
        </w:numPr>
        <w:spacing w:after="0" w:line="240" w:lineRule="auto"/>
        <w:rPr>
          <w:rFonts w:ascii="Arial" w:hAnsi="Arial" w:cs="Arial"/>
          <w:b/>
          <w:sz w:val="20"/>
          <w:szCs w:val="20"/>
        </w:rPr>
      </w:pPr>
      <w:r w:rsidRPr="00BE6621">
        <w:rPr>
          <w:rFonts w:ascii="Arial" w:hAnsi="Arial" w:cs="Arial"/>
          <w:b/>
          <w:sz w:val="20"/>
          <w:szCs w:val="20"/>
        </w:rPr>
        <w:t>Universal Data Elements Error Rate</w:t>
      </w:r>
    </w:p>
    <w:p w14:paraId="11D4898D" w14:textId="3DAC3BB7" w:rsidR="00BC5A77" w:rsidRPr="00BE6621" w:rsidRDefault="00BC5A77" w:rsidP="004226C6">
      <w:pPr>
        <w:pStyle w:val="ListParagraph"/>
        <w:numPr>
          <w:ilvl w:val="0"/>
          <w:numId w:val="15"/>
        </w:numPr>
        <w:spacing w:after="0" w:line="240" w:lineRule="auto"/>
        <w:rPr>
          <w:rFonts w:ascii="Arial" w:hAnsi="Arial" w:cs="Arial"/>
          <w:b/>
          <w:sz w:val="20"/>
          <w:szCs w:val="20"/>
        </w:rPr>
      </w:pPr>
      <w:r w:rsidRPr="00BE6621">
        <w:rPr>
          <w:rFonts w:ascii="Arial" w:hAnsi="Arial" w:cs="Arial"/>
          <w:b/>
          <w:sz w:val="20"/>
          <w:szCs w:val="20"/>
        </w:rPr>
        <w:t xml:space="preserve">Purpose: </w:t>
      </w:r>
      <w:r w:rsidR="00E6202A" w:rsidRPr="00E6202A">
        <w:rPr>
          <w:rFonts w:ascii="Arial" w:hAnsi="Arial" w:cs="Arial"/>
          <w:sz w:val="20"/>
          <w:szCs w:val="20"/>
        </w:rPr>
        <w:t>T</w:t>
      </w:r>
      <w:r w:rsidRPr="00BE6621">
        <w:rPr>
          <w:rFonts w:ascii="Arial" w:hAnsi="Arial" w:cs="Arial"/>
          <w:sz w:val="20"/>
          <w:szCs w:val="20"/>
        </w:rPr>
        <w:t>o achieve accurate data collection and to satisfy HUD HMIS data requirements, projects must ensure that data entered into the local HMIS system is complete.</w:t>
      </w:r>
    </w:p>
    <w:p w14:paraId="17022122" w14:textId="7B785371" w:rsidR="00BC5A77" w:rsidRPr="00BE6621" w:rsidRDefault="00BC5A77" w:rsidP="004226C6">
      <w:pPr>
        <w:pStyle w:val="ListParagraph"/>
        <w:numPr>
          <w:ilvl w:val="0"/>
          <w:numId w:val="15"/>
        </w:numPr>
        <w:spacing w:after="0" w:line="240" w:lineRule="auto"/>
        <w:rPr>
          <w:rFonts w:ascii="Arial" w:hAnsi="Arial" w:cs="Arial"/>
          <w:b/>
          <w:sz w:val="20"/>
          <w:szCs w:val="20"/>
        </w:rPr>
      </w:pPr>
      <w:r w:rsidRPr="00BE6621">
        <w:rPr>
          <w:rFonts w:ascii="Arial" w:hAnsi="Arial" w:cs="Arial"/>
          <w:b/>
          <w:sz w:val="20"/>
          <w:szCs w:val="20"/>
        </w:rPr>
        <w:t xml:space="preserve">Scoring Metric: </w:t>
      </w:r>
      <w:r w:rsidR="00EA6E9F" w:rsidRPr="00BE6621">
        <w:rPr>
          <w:rFonts w:ascii="Arial" w:hAnsi="Arial" w:cs="Arial"/>
          <w:sz w:val="20"/>
          <w:szCs w:val="20"/>
        </w:rPr>
        <w:t xml:space="preserve">Projects that exceed an error rate of 5% as reported on Q3 and Q4: Universal Data Elements on the HUD </w:t>
      </w:r>
      <w:r w:rsidR="006C6158">
        <w:rPr>
          <w:rFonts w:ascii="Arial" w:hAnsi="Arial" w:cs="Arial"/>
          <w:sz w:val="20"/>
          <w:szCs w:val="20"/>
        </w:rPr>
        <w:t>Data Quality</w:t>
      </w:r>
      <w:r w:rsidR="00EA6E9F" w:rsidRPr="00BE6621">
        <w:rPr>
          <w:rFonts w:ascii="Arial" w:hAnsi="Arial" w:cs="Arial"/>
          <w:sz w:val="20"/>
          <w:szCs w:val="20"/>
        </w:rPr>
        <w:t xml:space="preserve"> Report will fail to meet threshold for this measurement.  </w:t>
      </w:r>
    </w:p>
    <w:p w14:paraId="37874972" w14:textId="35D64470" w:rsidR="00BC5A77" w:rsidRPr="00BE6621" w:rsidRDefault="00BC5A77" w:rsidP="004226C6">
      <w:pPr>
        <w:pStyle w:val="ListParagraph"/>
        <w:numPr>
          <w:ilvl w:val="0"/>
          <w:numId w:val="15"/>
        </w:numPr>
        <w:spacing w:after="0" w:line="240" w:lineRule="auto"/>
        <w:rPr>
          <w:rFonts w:ascii="Arial" w:hAnsi="Arial" w:cs="Arial"/>
          <w:b/>
          <w:sz w:val="20"/>
          <w:szCs w:val="20"/>
        </w:rPr>
      </w:pPr>
      <w:r w:rsidRPr="00BE6621">
        <w:rPr>
          <w:rFonts w:ascii="Arial" w:hAnsi="Arial" w:cs="Arial"/>
          <w:b/>
          <w:sz w:val="20"/>
          <w:szCs w:val="20"/>
        </w:rPr>
        <w:t xml:space="preserve">Calculation: </w:t>
      </w:r>
      <w:r w:rsidR="00EA6E9F" w:rsidRPr="00BE6621">
        <w:rPr>
          <w:rFonts w:ascii="Arial" w:hAnsi="Arial" w:cs="Arial"/>
          <w:sz w:val="20"/>
          <w:szCs w:val="20"/>
        </w:rPr>
        <w:t xml:space="preserve">Error rates will be evaluated based on the overall error rate percentage for Q3 and Q4 on the HUD </w:t>
      </w:r>
      <w:r w:rsidR="006C6158">
        <w:rPr>
          <w:rFonts w:ascii="Arial" w:hAnsi="Arial" w:cs="Arial"/>
          <w:sz w:val="20"/>
          <w:szCs w:val="20"/>
        </w:rPr>
        <w:t>Data Quality</w:t>
      </w:r>
      <w:r w:rsidR="00EA6E9F" w:rsidRPr="00BE6621">
        <w:rPr>
          <w:rFonts w:ascii="Arial" w:hAnsi="Arial" w:cs="Arial"/>
          <w:sz w:val="20"/>
          <w:szCs w:val="20"/>
        </w:rPr>
        <w:t xml:space="preserve"> Report. Universal data elements include veteran status, project entry date, relationship to head of household, client location, disabling condition, and destination. The report calculates an error rate for each category and establishes an overall error rate</w:t>
      </w:r>
      <w:r w:rsidR="00870F7A" w:rsidRPr="00BE6621">
        <w:rPr>
          <w:rFonts w:ascii="Arial" w:hAnsi="Arial" w:cs="Arial"/>
          <w:sz w:val="20"/>
          <w:szCs w:val="20"/>
        </w:rPr>
        <w:t>.</w:t>
      </w:r>
    </w:p>
    <w:p w14:paraId="1700CB16" w14:textId="77777777" w:rsidR="00394857" w:rsidRPr="00A870C4" w:rsidRDefault="00394857" w:rsidP="00394857">
      <w:pPr>
        <w:spacing w:after="0" w:line="240" w:lineRule="auto"/>
        <w:rPr>
          <w:rFonts w:ascii="Arial" w:hAnsi="Arial" w:cs="Arial"/>
          <w:b/>
          <w:sz w:val="20"/>
          <w:szCs w:val="20"/>
        </w:rPr>
      </w:pPr>
    </w:p>
    <w:p w14:paraId="1700CB33" w14:textId="26572F62" w:rsidR="00CF64BA" w:rsidRPr="00A870C4" w:rsidRDefault="00B26892" w:rsidP="004226C6">
      <w:pPr>
        <w:pStyle w:val="ListParagraph"/>
        <w:numPr>
          <w:ilvl w:val="1"/>
          <w:numId w:val="2"/>
        </w:numPr>
        <w:rPr>
          <w:rFonts w:ascii="Arial" w:hAnsi="Arial" w:cs="Arial"/>
          <w:b/>
          <w:sz w:val="20"/>
          <w:szCs w:val="20"/>
        </w:rPr>
      </w:pPr>
      <w:r w:rsidRPr="00A870C4">
        <w:rPr>
          <w:rFonts w:ascii="Arial" w:hAnsi="Arial" w:cs="Arial"/>
          <w:b/>
          <w:sz w:val="20"/>
          <w:szCs w:val="20"/>
        </w:rPr>
        <w:t xml:space="preserve"> </w:t>
      </w:r>
      <w:r w:rsidR="001870F8" w:rsidRPr="00A870C4">
        <w:rPr>
          <w:rFonts w:ascii="Arial" w:hAnsi="Arial" w:cs="Arial"/>
          <w:b/>
          <w:sz w:val="20"/>
          <w:szCs w:val="20"/>
        </w:rPr>
        <w:t>HMIS Site Visit</w:t>
      </w:r>
    </w:p>
    <w:p w14:paraId="1700CB34" w14:textId="6F43F951" w:rsidR="00CF64BA" w:rsidRPr="00A870C4" w:rsidRDefault="00CF64BA" w:rsidP="004226C6">
      <w:pPr>
        <w:pStyle w:val="ListParagraph"/>
        <w:numPr>
          <w:ilvl w:val="0"/>
          <w:numId w:val="4"/>
        </w:numPr>
        <w:rPr>
          <w:rFonts w:ascii="Arial" w:hAnsi="Arial" w:cs="Arial"/>
          <w:b/>
          <w:color w:val="FF0000"/>
          <w:sz w:val="20"/>
          <w:szCs w:val="20"/>
        </w:rPr>
      </w:pPr>
      <w:r w:rsidRPr="00A870C4">
        <w:rPr>
          <w:rFonts w:ascii="Arial" w:hAnsi="Arial" w:cs="Arial"/>
          <w:b/>
          <w:sz w:val="20"/>
          <w:szCs w:val="20"/>
        </w:rPr>
        <w:t>Purpose:</w:t>
      </w:r>
      <w:r w:rsidRPr="00A870C4">
        <w:rPr>
          <w:rFonts w:ascii="Arial" w:hAnsi="Arial" w:cs="Arial"/>
          <w:sz w:val="20"/>
          <w:szCs w:val="20"/>
        </w:rPr>
        <w:t xml:space="preserve"> </w:t>
      </w:r>
      <w:r w:rsidR="00DA2F5B" w:rsidRPr="00A870C4">
        <w:rPr>
          <w:rFonts w:ascii="Arial" w:hAnsi="Arial" w:cs="Arial"/>
          <w:sz w:val="20"/>
          <w:szCs w:val="20"/>
        </w:rPr>
        <w:t xml:space="preserve">HUD HMIS Data Standards requires the HMIS Lead to conduct Annual Site Audits to ensure project compliance in areas of system security protocols, IT assessment and data quality. </w:t>
      </w:r>
    </w:p>
    <w:p w14:paraId="1700CB36" w14:textId="17B0C0A9" w:rsidR="00CF64BA" w:rsidRPr="00A870C4" w:rsidRDefault="00AA0D87" w:rsidP="004226C6">
      <w:pPr>
        <w:pStyle w:val="ListParagraph"/>
        <w:numPr>
          <w:ilvl w:val="0"/>
          <w:numId w:val="4"/>
        </w:numPr>
        <w:rPr>
          <w:rFonts w:ascii="Arial" w:hAnsi="Arial" w:cs="Arial"/>
          <w:b/>
          <w:sz w:val="20"/>
          <w:szCs w:val="20"/>
        </w:rPr>
      </w:pPr>
      <w:r w:rsidRPr="00A870C4">
        <w:rPr>
          <w:rFonts w:ascii="Arial" w:hAnsi="Arial" w:cs="Arial"/>
          <w:b/>
          <w:sz w:val="20"/>
          <w:szCs w:val="20"/>
        </w:rPr>
        <w:lastRenderedPageBreak/>
        <w:t>Scoring</w:t>
      </w:r>
      <w:r w:rsidR="00CF64BA" w:rsidRPr="00A870C4">
        <w:rPr>
          <w:rFonts w:ascii="Arial" w:hAnsi="Arial" w:cs="Arial"/>
          <w:b/>
          <w:sz w:val="20"/>
          <w:szCs w:val="20"/>
        </w:rPr>
        <w:t xml:space="preserve"> Metric:</w:t>
      </w:r>
      <w:r w:rsidR="00CF64BA" w:rsidRPr="00A870C4">
        <w:rPr>
          <w:rFonts w:ascii="Arial" w:hAnsi="Arial" w:cs="Arial"/>
          <w:sz w:val="20"/>
          <w:szCs w:val="20"/>
        </w:rPr>
        <w:t xml:space="preserve"> </w:t>
      </w:r>
      <w:r w:rsidR="000E0F0E" w:rsidRPr="00A870C4">
        <w:rPr>
          <w:rFonts w:ascii="Arial" w:hAnsi="Arial" w:cs="Arial"/>
          <w:sz w:val="20"/>
          <w:szCs w:val="20"/>
        </w:rPr>
        <w:t xml:space="preserve">Projects will be scored as “In Compliance” or “Action Needed” on each section. Agencies who </w:t>
      </w:r>
      <w:r w:rsidR="00825E93">
        <w:rPr>
          <w:rFonts w:ascii="Arial" w:hAnsi="Arial" w:cs="Arial"/>
          <w:sz w:val="20"/>
          <w:szCs w:val="20"/>
        </w:rPr>
        <w:t>are not</w:t>
      </w:r>
      <w:r w:rsidR="000E0F0E" w:rsidRPr="00A870C4">
        <w:rPr>
          <w:rFonts w:ascii="Arial" w:hAnsi="Arial" w:cs="Arial"/>
          <w:sz w:val="20"/>
          <w:szCs w:val="20"/>
        </w:rPr>
        <w:t xml:space="preserve"> in compliance </w:t>
      </w:r>
      <w:r w:rsidR="00BC5A77">
        <w:rPr>
          <w:rFonts w:ascii="Arial" w:hAnsi="Arial" w:cs="Arial"/>
          <w:sz w:val="20"/>
          <w:szCs w:val="20"/>
        </w:rPr>
        <w:t>upon completion of</w:t>
      </w:r>
      <w:r w:rsidR="000E0F0E" w:rsidRPr="00A870C4">
        <w:rPr>
          <w:rFonts w:ascii="Arial" w:hAnsi="Arial" w:cs="Arial"/>
          <w:sz w:val="20"/>
          <w:szCs w:val="20"/>
        </w:rPr>
        <w:t xml:space="preserve"> the Site Visit will fail to meet the threshold for this requirement. </w:t>
      </w:r>
      <w:r w:rsidR="00CF64BA" w:rsidRPr="00A870C4">
        <w:rPr>
          <w:rFonts w:ascii="Arial" w:hAnsi="Arial" w:cs="Arial"/>
          <w:sz w:val="20"/>
          <w:szCs w:val="20"/>
        </w:rPr>
        <w:t xml:space="preserve"> </w:t>
      </w:r>
    </w:p>
    <w:p w14:paraId="53DCED5E" w14:textId="1EB1C895" w:rsidR="00F36488" w:rsidRPr="00F672C6" w:rsidRDefault="000E0F0E" w:rsidP="004226C6">
      <w:pPr>
        <w:pStyle w:val="ListParagraph"/>
        <w:numPr>
          <w:ilvl w:val="0"/>
          <w:numId w:val="4"/>
        </w:numPr>
        <w:rPr>
          <w:rFonts w:ascii="Arial" w:hAnsi="Arial" w:cs="Arial"/>
          <w:sz w:val="20"/>
          <w:szCs w:val="20"/>
        </w:rPr>
      </w:pPr>
      <w:r w:rsidRPr="00F672C6">
        <w:rPr>
          <w:rFonts w:ascii="Arial" w:hAnsi="Arial" w:cs="Arial"/>
          <w:b/>
          <w:sz w:val="20"/>
          <w:szCs w:val="20"/>
        </w:rPr>
        <w:t>Calculation:</w:t>
      </w:r>
      <w:r w:rsidRPr="00F672C6">
        <w:rPr>
          <w:rFonts w:ascii="Arial" w:hAnsi="Arial" w:cs="Arial"/>
          <w:sz w:val="20"/>
          <w:szCs w:val="20"/>
        </w:rPr>
        <w:t xml:space="preserve"> Each section on the Site Visit checklist will be evaluated at either 1 point (In Compliance) or no poin</w:t>
      </w:r>
      <w:r w:rsidR="00A870C4" w:rsidRPr="00F672C6">
        <w:rPr>
          <w:rFonts w:ascii="Arial" w:hAnsi="Arial" w:cs="Arial"/>
          <w:sz w:val="20"/>
          <w:szCs w:val="20"/>
        </w:rPr>
        <w:t>ts (Action Needed). There are 12</w:t>
      </w:r>
      <w:r w:rsidRPr="00F672C6">
        <w:rPr>
          <w:rFonts w:ascii="Arial" w:hAnsi="Arial" w:cs="Arial"/>
          <w:sz w:val="20"/>
          <w:szCs w:val="20"/>
        </w:rPr>
        <w:t xml:space="preserve"> sections resulting in 1</w:t>
      </w:r>
      <w:r w:rsidR="00A870C4" w:rsidRPr="00F672C6">
        <w:rPr>
          <w:rFonts w:ascii="Arial" w:hAnsi="Arial" w:cs="Arial"/>
          <w:sz w:val="20"/>
          <w:szCs w:val="20"/>
        </w:rPr>
        <w:t>2</w:t>
      </w:r>
      <w:r w:rsidRPr="00F672C6">
        <w:rPr>
          <w:rFonts w:ascii="Arial" w:hAnsi="Arial" w:cs="Arial"/>
          <w:sz w:val="20"/>
          <w:szCs w:val="20"/>
        </w:rPr>
        <w:t xml:space="preserve"> total poss</w:t>
      </w:r>
      <w:r w:rsidR="00A870C4" w:rsidRPr="00F672C6">
        <w:rPr>
          <w:rFonts w:ascii="Arial" w:hAnsi="Arial" w:cs="Arial"/>
          <w:sz w:val="20"/>
          <w:szCs w:val="20"/>
        </w:rPr>
        <w:t>ible points. If an agency has 11</w:t>
      </w:r>
      <w:r w:rsidRPr="00F672C6">
        <w:rPr>
          <w:rFonts w:ascii="Arial" w:hAnsi="Arial" w:cs="Arial"/>
          <w:sz w:val="20"/>
          <w:szCs w:val="20"/>
        </w:rPr>
        <w:t xml:space="preserve"> sections scored as “In Compliance” and 1 section scored as “Action Needed”, their overall score would be 1</w:t>
      </w:r>
      <w:r w:rsidR="00A870C4" w:rsidRPr="00F672C6">
        <w:rPr>
          <w:rFonts w:ascii="Arial" w:hAnsi="Arial" w:cs="Arial"/>
          <w:sz w:val="20"/>
          <w:szCs w:val="20"/>
        </w:rPr>
        <w:t>1</w:t>
      </w:r>
      <w:r w:rsidRPr="00F672C6">
        <w:rPr>
          <w:rFonts w:ascii="Arial" w:hAnsi="Arial" w:cs="Arial"/>
          <w:sz w:val="20"/>
          <w:szCs w:val="20"/>
        </w:rPr>
        <w:t>/1</w:t>
      </w:r>
      <w:r w:rsidR="00A870C4" w:rsidRPr="00F672C6">
        <w:rPr>
          <w:rFonts w:ascii="Arial" w:hAnsi="Arial" w:cs="Arial"/>
          <w:sz w:val="20"/>
          <w:szCs w:val="20"/>
        </w:rPr>
        <w:t>2</w:t>
      </w:r>
      <w:r w:rsidRPr="00F672C6">
        <w:rPr>
          <w:rFonts w:ascii="Arial" w:hAnsi="Arial" w:cs="Arial"/>
          <w:sz w:val="20"/>
          <w:szCs w:val="20"/>
        </w:rPr>
        <w:t xml:space="preserve"> = 9</w:t>
      </w:r>
      <w:r w:rsidR="00A870C4" w:rsidRPr="00F672C6">
        <w:rPr>
          <w:rFonts w:ascii="Arial" w:hAnsi="Arial" w:cs="Arial"/>
          <w:sz w:val="20"/>
          <w:szCs w:val="20"/>
        </w:rPr>
        <w:t>1</w:t>
      </w:r>
      <w:r w:rsidRPr="00F672C6">
        <w:rPr>
          <w:rFonts w:ascii="Arial" w:hAnsi="Arial" w:cs="Arial"/>
          <w:sz w:val="20"/>
          <w:szCs w:val="20"/>
        </w:rPr>
        <w:t>.</w:t>
      </w:r>
      <w:r w:rsidR="00A870C4" w:rsidRPr="00F672C6">
        <w:rPr>
          <w:rFonts w:ascii="Arial" w:hAnsi="Arial" w:cs="Arial"/>
          <w:sz w:val="20"/>
          <w:szCs w:val="20"/>
        </w:rPr>
        <w:t>6</w:t>
      </w:r>
      <w:r w:rsidRPr="00F672C6">
        <w:rPr>
          <w:rFonts w:ascii="Arial" w:hAnsi="Arial" w:cs="Arial"/>
          <w:sz w:val="20"/>
          <w:szCs w:val="20"/>
        </w:rPr>
        <w:t>%.</w:t>
      </w:r>
    </w:p>
    <w:p w14:paraId="2568C27D" w14:textId="7C39A9E4" w:rsidR="00F36488" w:rsidRPr="00F672C6" w:rsidRDefault="00F36488" w:rsidP="00F36488">
      <w:pPr>
        <w:spacing w:after="0" w:line="240" w:lineRule="auto"/>
        <w:jc w:val="center"/>
        <w:rPr>
          <w:rFonts w:ascii="Arial" w:hAnsi="Arial" w:cs="Arial"/>
          <w:b/>
          <w:sz w:val="20"/>
          <w:szCs w:val="20"/>
        </w:rPr>
      </w:pPr>
      <w:r w:rsidRPr="00F672C6">
        <w:rPr>
          <w:rFonts w:ascii="Arial" w:hAnsi="Arial" w:cs="Arial"/>
          <w:b/>
          <w:sz w:val="20"/>
          <w:szCs w:val="20"/>
        </w:rPr>
        <w:t xml:space="preserve">Section </w:t>
      </w:r>
      <w:r w:rsidR="006C6158">
        <w:rPr>
          <w:rFonts w:ascii="Arial" w:hAnsi="Arial" w:cs="Arial"/>
          <w:b/>
          <w:sz w:val="20"/>
          <w:szCs w:val="20"/>
        </w:rPr>
        <w:t>5</w:t>
      </w:r>
    </w:p>
    <w:p w14:paraId="4BE779A2" w14:textId="37915ADE" w:rsidR="00F36488" w:rsidRPr="00F672C6" w:rsidRDefault="00BC5A77" w:rsidP="00F36488">
      <w:pPr>
        <w:spacing w:after="0" w:line="240" w:lineRule="auto"/>
        <w:jc w:val="center"/>
        <w:rPr>
          <w:rFonts w:ascii="Arial" w:hAnsi="Arial" w:cs="Arial"/>
          <w:b/>
          <w:sz w:val="20"/>
          <w:szCs w:val="20"/>
        </w:rPr>
      </w:pPr>
      <w:r w:rsidRPr="00F672C6">
        <w:rPr>
          <w:rFonts w:ascii="Arial" w:hAnsi="Arial" w:cs="Arial"/>
          <w:b/>
          <w:sz w:val="20"/>
          <w:szCs w:val="20"/>
        </w:rPr>
        <w:t>CoC</w:t>
      </w:r>
      <w:r w:rsidR="00F36488" w:rsidRPr="00F672C6">
        <w:rPr>
          <w:rFonts w:ascii="Arial" w:hAnsi="Arial" w:cs="Arial"/>
          <w:b/>
          <w:sz w:val="20"/>
          <w:szCs w:val="20"/>
        </w:rPr>
        <w:t xml:space="preserve"> Participation</w:t>
      </w:r>
      <w:r w:rsidR="006C6158">
        <w:rPr>
          <w:rFonts w:ascii="Arial" w:hAnsi="Arial" w:cs="Arial"/>
          <w:b/>
          <w:sz w:val="20"/>
          <w:szCs w:val="20"/>
        </w:rPr>
        <w:t xml:space="preserve"> (5%)</w:t>
      </w:r>
    </w:p>
    <w:p w14:paraId="7582AF36" w14:textId="38029993" w:rsidR="00F36488" w:rsidRDefault="00F36488" w:rsidP="00F36488">
      <w:pPr>
        <w:spacing w:after="0" w:line="240" w:lineRule="auto"/>
        <w:jc w:val="center"/>
        <w:rPr>
          <w:rFonts w:ascii="Arial" w:hAnsi="Arial" w:cs="Arial"/>
          <w:b/>
          <w:sz w:val="20"/>
          <w:szCs w:val="20"/>
          <w:highlight w:val="yellow"/>
        </w:rPr>
      </w:pPr>
    </w:p>
    <w:p w14:paraId="56CA635C" w14:textId="7C3F1470" w:rsidR="00F36488" w:rsidRPr="00BE6621" w:rsidRDefault="00323006" w:rsidP="004226C6">
      <w:pPr>
        <w:pStyle w:val="ListParagraph"/>
        <w:numPr>
          <w:ilvl w:val="1"/>
          <w:numId w:val="2"/>
        </w:numPr>
        <w:spacing w:after="0" w:line="240" w:lineRule="auto"/>
        <w:rPr>
          <w:rFonts w:ascii="Arial" w:hAnsi="Arial" w:cs="Arial"/>
          <w:b/>
          <w:sz w:val="20"/>
          <w:szCs w:val="20"/>
        </w:rPr>
      </w:pPr>
      <w:r w:rsidRPr="00BE6621">
        <w:rPr>
          <w:rFonts w:ascii="Arial" w:hAnsi="Arial" w:cs="Arial"/>
          <w:b/>
          <w:sz w:val="20"/>
          <w:szCs w:val="20"/>
        </w:rPr>
        <w:t>2017 PIT Count Particip</w:t>
      </w:r>
      <w:r w:rsidR="00825E93" w:rsidRPr="00BE6621">
        <w:rPr>
          <w:rFonts w:ascii="Arial" w:hAnsi="Arial" w:cs="Arial"/>
          <w:b/>
          <w:sz w:val="20"/>
          <w:szCs w:val="20"/>
        </w:rPr>
        <w:t>a</w:t>
      </w:r>
      <w:r w:rsidRPr="00BE6621">
        <w:rPr>
          <w:rFonts w:ascii="Arial" w:hAnsi="Arial" w:cs="Arial"/>
          <w:b/>
          <w:sz w:val="20"/>
          <w:szCs w:val="20"/>
        </w:rPr>
        <w:t>tion</w:t>
      </w:r>
    </w:p>
    <w:p w14:paraId="66D7D1A8" w14:textId="5E927097" w:rsidR="00323006" w:rsidRPr="00BE6621" w:rsidRDefault="00323006" w:rsidP="004226C6">
      <w:pPr>
        <w:pStyle w:val="ListParagraph"/>
        <w:numPr>
          <w:ilvl w:val="0"/>
          <w:numId w:val="13"/>
        </w:numPr>
        <w:spacing w:after="0" w:line="240" w:lineRule="auto"/>
        <w:rPr>
          <w:rFonts w:ascii="Arial" w:hAnsi="Arial" w:cs="Arial"/>
          <w:b/>
          <w:sz w:val="20"/>
          <w:szCs w:val="20"/>
        </w:rPr>
      </w:pPr>
      <w:r w:rsidRPr="00BE6621">
        <w:rPr>
          <w:rFonts w:ascii="Arial" w:hAnsi="Arial" w:cs="Arial"/>
          <w:b/>
          <w:sz w:val="20"/>
          <w:szCs w:val="20"/>
        </w:rPr>
        <w:t>Purpose:</w:t>
      </w:r>
      <w:r w:rsidR="00825E93" w:rsidRPr="00BE6621">
        <w:rPr>
          <w:rFonts w:ascii="Arial" w:hAnsi="Arial" w:cs="Arial"/>
          <w:b/>
          <w:sz w:val="20"/>
          <w:szCs w:val="20"/>
        </w:rPr>
        <w:t xml:space="preserve"> </w:t>
      </w:r>
      <w:r w:rsidR="0058242B" w:rsidRPr="00BE6621">
        <w:rPr>
          <w:rFonts w:ascii="Arial" w:hAnsi="Arial" w:cs="Arial"/>
          <w:sz w:val="20"/>
          <w:szCs w:val="20"/>
        </w:rPr>
        <w:t>Indicates if agency is participating in CoC-related activities</w:t>
      </w:r>
    </w:p>
    <w:p w14:paraId="7CA4D6A9" w14:textId="6A25576F" w:rsidR="00323006" w:rsidRPr="00BE6621" w:rsidRDefault="00323006" w:rsidP="004226C6">
      <w:pPr>
        <w:pStyle w:val="ListParagraph"/>
        <w:numPr>
          <w:ilvl w:val="0"/>
          <w:numId w:val="13"/>
        </w:numPr>
        <w:spacing w:after="0" w:line="240" w:lineRule="auto"/>
        <w:rPr>
          <w:rFonts w:ascii="Arial" w:hAnsi="Arial" w:cs="Arial"/>
          <w:b/>
          <w:sz w:val="20"/>
          <w:szCs w:val="20"/>
        </w:rPr>
      </w:pPr>
      <w:r w:rsidRPr="00BE6621">
        <w:rPr>
          <w:rFonts w:ascii="Arial" w:hAnsi="Arial" w:cs="Arial"/>
          <w:b/>
          <w:sz w:val="20"/>
          <w:szCs w:val="20"/>
        </w:rPr>
        <w:t>Scoring Metric:</w:t>
      </w:r>
      <w:r w:rsidR="00825E93" w:rsidRPr="00BE6621">
        <w:rPr>
          <w:rFonts w:ascii="Arial" w:hAnsi="Arial" w:cs="Arial"/>
          <w:b/>
          <w:sz w:val="20"/>
          <w:szCs w:val="20"/>
        </w:rPr>
        <w:t xml:space="preserve"> </w:t>
      </w:r>
      <w:r w:rsidR="00825E93" w:rsidRPr="00BE6621">
        <w:rPr>
          <w:rFonts w:ascii="Arial" w:hAnsi="Arial" w:cs="Arial"/>
          <w:sz w:val="20"/>
          <w:szCs w:val="20"/>
        </w:rPr>
        <w:t>Projects that participated in the 20</w:t>
      </w:r>
      <w:r w:rsidR="00483F2E" w:rsidRPr="00BE6621">
        <w:rPr>
          <w:rFonts w:ascii="Arial" w:hAnsi="Arial" w:cs="Arial"/>
          <w:sz w:val="20"/>
          <w:szCs w:val="20"/>
        </w:rPr>
        <w:t>17 PIT Count will receive full points</w:t>
      </w:r>
      <w:r w:rsidR="00825E93" w:rsidRPr="00BE6621">
        <w:rPr>
          <w:rFonts w:ascii="Arial" w:hAnsi="Arial" w:cs="Arial"/>
          <w:sz w:val="20"/>
          <w:szCs w:val="20"/>
        </w:rPr>
        <w:t xml:space="preserve">. Projects that did not participate in the 2017 PIT Count will fail to meet the threshold for this requirement. </w:t>
      </w:r>
    </w:p>
    <w:p w14:paraId="67087227" w14:textId="325B7A25" w:rsidR="00D37165" w:rsidRPr="00D37165" w:rsidRDefault="00323006" w:rsidP="004226C6">
      <w:pPr>
        <w:pStyle w:val="ListParagraph"/>
        <w:numPr>
          <w:ilvl w:val="0"/>
          <w:numId w:val="13"/>
        </w:numPr>
        <w:spacing w:after="0" w:line="240" w:lineRule="auto"/>
        <w:rPr>
          <w:rFonts w:ascii="Arial" w:hAnsi="Arial" w:cs="Arial"/>
          <w:b/>
          <w:sz w:val="20"/>
          <w:szCs w:val="20"/>
        </w:rPr>
      </w:pPr>
      <w:r w:rsidRPr="00BE6621">
        <w:rPr>
          <w:rFonts w:ascii="Arial" w:hAnsi="Arial" w:cs="Arial"/>
          <w:b/>
          <w:sz w:val="20"/>
          <w:szCs w:val="20"/>
        </w:rPr>
        <w:t>Calculation:</w:t>
      </w:r>
      <w:r w:rsidR="00825E93" w:rsidRPr="00BE6621">
        <w:rPr>
          <w:rFonts w:ascii="Arial" w:hAnsi="Arial" w:cs="Arial"/>
          <w:b/>
          <w:sz w:val="20"/>
          <w:szCs w:val="20"/>
        </w:rPr>
        <w:t xml:space="preserve"> </w:t>
      </w:r>
      <w:r w:rsidR="00825E93" w:rsidRPr="00BE6621">
        <w:rPr>
          <w:rFonts w:ascii="Arial" w:hAnsi="Arial" w:cs="Arial"/>
          <w:sz w:val="20"/>
          <w:szCs w:val="20"/>
        </w:rPr>
        <w:t xml:space="preserve">PIT registration check-in data </w:t>
      </w:r>
      <w:r w:rsidR="00BE6621" w:rsidRPr="00BE6621">
        <w:rPr>
          <w:rFonts w:ascii="Arial" w:hAnsi="Arial" w:cs="Arial"/>
          <w:sz w:val="20"/>
          <w:szCs w:val="20"/>
        </w:rPr>
        <w:t>will be used to identify agencie</w:t>
      </w:r>
      <w:r w:rsidR="00825E93" w:rsidRPr="00BE6621">
        <w:rPr>
          <w:rFonts w:ascii="Arial" w:hAnsi="Arial" w:cs="Arial"/>
          <w:sz w:val="20"/>
          <w:szCs w:val="20"/>
        </w:rPr>
        <w:t xml:space="preserve">s that </w:t>
      </w:r>
      <w:r w:rsidR="00EE1919" w:rsidRPr="00BE6621">
        <w:rPr>
          <w:rFonts w:ascii="Arial" w:hAnsi="Arial" w:cs="Arial"/>
          <w:sz w:val="20"/>
          <w:szCs w:val="20"/>
        </w:rPr>
        <w:t>assisted in conducting the count</w:t>
      </w:r>
      <w:r w:rsidR="0058242B" w:rsidRPr="00BE6621">
        <w:rPr>
          <w:rFonts w:ascii="Arial" w:hAnsi="Arial" w:cs="Arial"/>
          <w:sz w:val="20"/>
          <w:szCs w:val="20"/>
        </w:rPr>
        <w:t xml:space="preserve"> (volunteering with set-up or counting)</w:t>
      </w:r>
      <w:r w:rsidR="00825E93" w:rsidRPr="00BE6621">
        <w:rPr>
          <w:rFonts w:ascii="Arial" w:hAnsi="Arial" w:cs="Arial"/>
          <w:sz w:val="20"/>
          <w:szCs w:val="20"/>
        </w:rPr>
        <w:t>.</w:t>
      </w:r>
      <w:r w:rsidR="00E83DC5" w:rsidRPr="00BE6621">
        <w:rPr>
          <w:rFonts w:ascii="Arial" w:hAnsi="Arial" w:cs="Arial"/>
          <w:sz w:val="20"/>
          <w:szCs w:val="20"/>
        </w:rPr>
        <w:t xml:space="preserve"> Emails will be used </w:t>
      </w:r>
      <w:r w:rsidR="0058242B" w:rsidRPr="00BE6621">
        <w:rPr>
          <w:rFonts w:ascii="Arial" w:hAnsi="Arial" w:cs="Arial"/>
          <w:sz w:val="20"/>
          <w:szCs w:val="20"/>
        </w:rPr>
        <w:t xml:space="preserve">as documentation </w:t>
      </w:r>
      <w:r w:rsidR="00E83DC5" w:rsidRPr="00BE6621">
        <w:rPr>
          <w:rFonts w:ascii="Arial" w:hAnsi="Arial" w:cs="Arial"/>
          <w:sz w:val="20"/>
          <w:szCs w:val="20"/>
        </w:rPr>
        <w:t xml:space="preserve">for agency’s that </w:t>
      </w:r>
      <w:r w:rsidR="00EE1919" w:rsidRPr="00BE6621">
        <w:rPr>
          <w:rFonts w:ascii="Arial" w:hAnsi="Arial" w:cs="Arial"/>
          <w:sz w:val="20"/>
          <w:szCs w:val="20"/>
        </w:rPr>
        <w:t>submitted data on PIT shelter populations.</w:t>
      </w:r>
      <w:r w:rsidR="00825E93" w:rsidRPr="00BE6621">
        <w:rPr>
          <w:rFonts w:ascii="Arial" w:hAnsi="Arial" w:cs="Arial"/>
          <w:sz w:val="20"/>
          <w:szCs w:val="20"/>
        </w:rPr>
        <w:t xml:space="preserve">  </w:t>
      </w:r>
    </w:p>
    <w:p w14:paraId="7A699BA1" w14:textId="77777777" w:rsidR="00D37165" w:rsidRPr="00D37165" w:rsidRDefault="00D37165" w:rsidP="00D37165">
      <w:pPr>
        <w:spacing w:after="0" w:line="240" w:lineRule="auto"/>
        <w:ind w:left="360"/>
        <w:rPr>
          <w:rFonts w:ascii="Arial" w:hAnsi="Arial" w:cs="Arial"/>
          <w:b/>
          <w:sz w:val="20"/>
          <w:szCs w:val="20"/>
        </w:rPr>
      </w:pPr>
    </w:p>
    <w:p w14:paraId="70639505" w14:textId="7521B427" w:rsidR="00323006" w:rsidRPr="00D37165" w:rsidRDefault="00323006" w:rsidP="004226C6">
      <w:pPr>
        <w:pStyle w:val="ListParagraph"/>
        <w:numPr>
          <w:ilvl w:val="1"/>
          <w:numId w:val="2"/>
        </w:numPr>
        <w:spacing w:after="0" w:line="240" w:lineRule="auto"/>
        <w:rPr>
          <w:rFonts w:ascii="Arial" w:hAnsi="Arial" w:cs="Arial"/>
          <w:b/>
          <w:sz w:val="20"/>
          <w:szCs w:val="20"/>
        </w:rPr>
      </w:pPr>
      <w:r w:rsidRPr="00D37165">
        <w:rPr>
          <w:rFonts w:ascii="Arial" w:hAnsi="Arial" w:cs="Arial"/>
          <w:b/>
          <w:sz w:val="20"/>
          <w:szCs w:val="20"/>
        </w:rPr>
        <w:t>CoC General Meeting Attendance</w:t>
      </w:r>
    </w:p>
    <w:p w14:paraId="7F1339B7" w14:textId="6F1D6991" w:rsidR="00323006" w:rsidRPr="00940E77" w:rsidRDefault="00323006" w:rsidP="004226C6">
      <w:pPr>
        <w:pStyle w:val="ListParagraph"/>
        <w:numPr>
          <w:ilvl w:val="0"/>
          <w:numId w:val="14"/>
        </w:numPr>
        <w:spacing w:after="0" w:line="240" w:lineRule="auto"/>
        <w:rPr>
          <w:rFonts w:ascii="Arial" w:hAnsi="Arial" w:cs="Arial"/>
          <w:b/>
          <w:sz w:val="20"/>
          <w:szCs w:val="20"/>
        </w:rPr>
      </w:pPr>
      <w:r w:rsidRPr="00940E77">
        <w:rPr>
          <w:rFonts w:ascii="Arial" w:hAnsi="Arial" w:cs="Arial"/>
          <w:b/>
          <w:sz w:val="20"/>
          <w:szCs w:val="20"/>
        </w:rPr>
        <w:t>Purpose:</w:t>
      </w:r>
      <w:r w:rsidR="00E83DC5" w:rsidRPr="00940E77">
        <w:rPr>
          <w:rFonts w:ascii="Arial" w:hAnsi="Arial" w:cs="Arial"/>
          <w:b/>
          <w:sz w:val="20"/>
          <w:szCs w:val="20"/>
        </w:rPr>
        <w:t xml:space="preserve"> </w:t>
      </w:r>
      <w:r w:rsidR="0058242B" w:rsidRPr="00940E77">
        <w:rPr>
          <w:rFonts w:ascii="Arial" w:hAnsi="Arial" w:cs="Arial"/>
          <w:sz w:val="20"/>
          <w:szCs w:val="20"/>
        </w:rPr>
        <w:t>Indicates if agency is participating in CoC-related activities</w:t>
      </w:r>
    </w:p>
    <w:p w14:paraId="5649A8E2" w14:textId="45DBE6B3" w:rsidR="00323006" w:rsidRPr="00F672C6" w:rsidRDefault="00323006" w:rsidP="004226C6">
      <w:pPr>
        <w:pStyle w:val="ListParagraph"/>
        <w:numPr>
          <w:ilvl w:val="0"/>
          <w:numId w:val="14"/>
        </w:numPr>
        <w:spacing w:after="0" w:line="240" w:lineRule="auto"/>
        <w:rPr>
          <w:rFonts w:ascii="Arial" w:hAnsi="Arial" w:cs="Arial"/>
          <w:b/>
          <w:sz w:val="20"/>
          <w:szCs w:val="20"/>
        </w:rPr>
      </w:pPr>
      <w:r w:rsidRPr="00940E77">
        <w:rPr>
          <w:rFonts w:ascii="Arial" w:hAnsi="Arial" w:cs="Arial"/>
          <w:b/>
          <w:sz w:val="20"/>
          <w:szCs w:val="20"/>
        </w:rPr>
        <w:t>Scoring Metric:</w:t>
      </w:r>
      <w:r w:rsidR="00E83DC5" w:rsidRPr="00940E77">
        <w:rPr>
          <w:rFonts w:ascii="Arial" w:hAnsi="Arial" w:cs="Arial"/>
          <w:b/>
          <w:sz w:val="20"/>
          <w:szCs w:val="20"/>
        </w:rPr>
        <w:t xml:space="preserve"> </w:t>
      </w:r>
      <w:r w:rsidR="0058242B" w:rsidRPr="00940E77">
        <w:rPr>
          <w:rFonts w:ascii="Arial" w:hAnsi="Arial" w:cs="Arial"/>
          <w:sz w:val="20"/>
          <w:szCs w:val="20"/>
        </w:rPr>
        <w:t>Agencies will be scored according to the number o</w:t>
      </w:r>
      <w:r w:rsidR="004F6E8B">
        <w:rPr>
          <w:rFonts w:ascii="Arial" w:hAnsi="Arial" w:cs="Arial"/>
          <w:sz w:val="20"/>
          <w:szCs w:val="20"/>
        </w:rPr>
        <w:t xml:space="preserve">f CoC General Meetings </w:t>
      </w:r>
      <w:r w:rsidR="004F6E8B" w:rsidRPr="00F672C6">
        <w:rPr>
          <w:rFonts w:ascii="Arial" w:hAnsi="Arial" w:cs="Arial"/>
          <w:sz w:val="20"/>
          <w:szCs w:val="20"/>
        </w:rPr>
        <w:t xml:space="preserve">attended from </w:t>
      </w:r>
      <w:r w:rsidR="001659DF">
        <w:rPr>
          <w:rFonts w:ascii="Arial" w:hAnsi="Arial" w:cs="Arial"/>
          <w:sz w:val="20"/>
          <w:szCs w:val="20"/>
        </w:rPr>
        <w:t>July 2016 – June 2017</w:t>
      </w:r>
    </w:p>
    <w:p w14:paraId="6C61D347" w14:textId="5BF803AD" w:rsidR="00323006" w:rsidRPr="001659DF" w:rsidRDefault="00323006" w:rsidP="001659DF">
      <w:pPr>
        <w:pStyle w:val="ListParagraph"/>
        <w:numPr>
          <w:ilvl w:val="0"/>
          <w:numId w:val="14"/>
        </w:numPr>
        <w:spacing w:after="0" w:line="240" w:lineRule="auto"/>
        <w:rPr>
          <w:rFonts w:ascii="Arial" w:hAnsi="Arial" w:cs="Arial"/>
          <w:b/>
          <w:sz w:val="20"/>
          <w:szCs w:val="20"/>
        </w:rPr>
      </w:pPr>
      <w:r w:rsidRPr="00BE6621">
        <w:rPr>
          <w:rFonts w:ascii="Arial" w:hAnsi="Arial" w:cs="Arial"/>
          <w:b/>
          <w:sz w:val="20"/>
          <w:szCs w:val="20"/>
        </w:rPr>
        <w:t>Calculation:</w:t>
      </w:r>
      <w:r w:rsidR="001A13FF" w:rsidRPr="00BE6621">
        <w:rPr>
          <w:rFonts w:ascii="Arial" w:hAnsi="Arial" w:cs="Arial"/>
          <w:b/>
          <w:sz w:val="20"/>
          <w:szCs w:val="20"/>
        </w:rPr>
        <w:t xml:space="preserve"> </w:t>
      </w:r>
      <w:r w:rsidR="001A13FF" w:rsidRPr="00BE6621">
        <w:rPr>
          <w:rFonts w:ascii="Arial" w:hAnsi="Arial" w:cs="Arial"/>
          <w:sz w:val="20"/>
          <w:szCs w:val="20"/>
        </w:rPr>
        <w:t>Measured through general meet</w:t>
      </w:r>
      <w:r w:rsidR="004F6E8B">
        <w:rPr>
          <w:rFonts w:ascii="Arial" w:hAnsi="Arial" w:cs="Arial"/>
          <w:sz w:val="20"/>
          <w:szCs w:val="20"/>
        </w:rPr>
        <w:t xml:space="preserve">ing sign-in sheets from </w:t>
      </w:r>
      <w:r w:rsidR="001659DF">
        <w:rPr>
          <w:rFonts w:ascii="Arial" w:hAnsi="Arial" w:cs="Arial"/>
          <w:sz w:val="20"/>
          <w:szCs w:val="20"/>
        </w:rPr>
        <w:t>July 2016 – June 2017</w:t>
      </w:r>
      <w:r w:rsidR="001A13FF" w:rsidRPr="001659DF">
        <w:rPr>
          <w:rFonts w:ascii="Arial" w:hAnsi="Arial" w:cs="Arial"/>
          <w:sz w:val="20"/>
          <w:szCs w:val="20"/>
        </w:rPr>
        <w:t>.</w:t>
      </w:r>
      <w:r w:rsidR="001A13FF" w:rsidRPr="001659DF">
        <w:rPr>
          <w:rFonts w:ascii="Arial" w:hAnsi="Arial" w:cs="Arial"/>
          <w:b/>
          <w:sz w:val="20"/>
          <w:szCs w:val="20"/>
        </w:rPr>
        <w:t xml:space="preserve"> </w:t>
      </w:r>
      <w:r w:rsidR="001A13FF" w:rsidRPr="001659DF">
        <w:rPr>
          <w:rFonts w:ascii="Arial" w:hAnsi="Arial" w:cs="Arial"/>
          <w:sz w:val="20"/>
          <w:szCs w:val="20"/>
        </w:rPr>
        <w:t xml:space="preserve">There </w:t>
      </w:r>
      <w:r w:rsidR="00EE1919" w:rsidRPr="001659DF">
        <w:rPr>
          <w:rFonts w:ascii="Arial" w:hAnsi="Arial" w:cs="Arial"/>
          <w:sz w:val="20"/>
          <w:szCs w:val="20"/>
        </w:rPr>
        <w:t>is</w:t>
      </w:r>
      <w:r w:rsidR="001A13FF" w:rsidRPr="001659DF">
        <w:rPr>
          <w:rFonts w:ascii="Arial" w:hAnsi="Arial" w:cs="Arial"/>
          <w:sz w:val="20"/>
          <w:szCs w:val="20"/>
        </w:rPr>
        <w:t xml:space="preserve"> a total of 10</w:t>
      </w:r>
      <w:r w:rsidR="00EE1919" w:rsidRPr="001659DF">
        <w:rPr>
          <w:rFonts w:ascii="Arial" w:hAnsi="Arial" w:cs="Arial"/>
          <w:sz w:val="20"/>
          <w:szCs w:val="20"/>
        </w:rPr>
        <w:t xml:space="preserve"> scheduled CoC</w:t>
      </w:r>
      <w:r w:rsidR="001A13FF" w:rsidRPr="001659DF">
        <w:rPr>
          <w:rFonts w:ascii="Arial" w:hAnsi="Arial" w:cs="Arial"/>
          <w:sz w:val="20"/>
          <w:szCs w:val="20"/>
        </w:rPr>
        <w:t xml:space="preserve"> General Meetings</w:t>
      </w:r>
      <w:r w:rsidR="00BC5A77" w:rsidRPr="001659DF">
        <w:rPr>
          <w:rFonts w:ascii="Arial" w:hAnsi="Arial" w:cs="Arial"/>
          <w:sz w:val="20"/>
          <w:szCs w:val="20"/>
        </w:rPr>
        <w:t xml:space="preserve"> (excluding the </w:t>
      </w:r>
      <w:r w:rsidR="004D7A66" w:rsidRPr="001659DF">
        <w:rPr>
          <w:rFonts w:ascii="Arial" w:hAnsi="Arial" w:cs="Arial"/>
          <w:sz w:val="20"/>
          <w:szCs w:val="20"/>
        </w:rPr>
        <w:t xml:space="preserve">January </w:t>
      </w:r>
      <w:r w:rsidR="00BC5A77" w:rsidRPr="001659DF">
        <w:rPr>
          <w:rFonts w:ascii="Arial" w:hAnsi="Arial" w:cs="Arial"/>
          <w:sz w:val="20"/>
          <w:szCs w:val="20"/>
        </w:rPr>
        <w:t xml:space="preserve">Annual Luncheon and </w:t>
      </w:r>
      <w:r w:rsidR="004D7A66" w:rsidRPr="001659DF">
        <w:rPr>
          <w:rFonts w:ascii="Arial" w:hAnsi="Arial" w:cs="Arial"/>
          <w:sz w:val="20"/>
          <w:szCs w:val="20"/>
        </w:rPr>
        <w:t xml:space="preserve">December </w:t>
      </w:r>
      <w:r w:rsidR="00BC5A77" w:rsidRPr="001659DF">
        <w:rPr>
          <w:rFonts w:ascii="Arial" w:hAnsi="Arial" w:cs="Arial"/>
          <w:sz w:val="20"/>
          <w:szCs w:val="20"/>
        </w:rPr>
        <w:t>Holiday General Meeting)</w:t>
      </w:r>
      <w:r w:rsidR="001A13FF" w:rsidRPr="001659DF">
        <w:rPr>
          <w:rFonts w:ascii="Arial" w:hAnsi="Arial" w:cs="Arial"/>
          <w:sz w:val="20"/>
          <w:szCs w:val="20"/>
        </w:rPr>
        <w:t>. The number of general meetings attended</w:t>
      </w:r>
      <w:r w:rsidR="004D7A66" w:rsidRPr="001659DF">
        <w:rPr>
          <w:rFonts w:ascii="Arial" w:hAnsi="Arial" w:cs="Arial"/>
          <w:sz w:val="20"/>
          <w:szCs w:val="20"/>
        </w:rPr>
        <w:t xml:space="preserve"> by an agency</w:t>
      </w:r>
      <w:r w:rsidR="001A13FF" w:rsidRPr="001659DF">
        <w:rPr>
          <w:rFonts w:ascii="Arial" w:hAnsi="Arial" w:cs="Arial"/>
          <w:sz w:val="20"/>
          <w:szCs w:val="20"/>
        </w:rPr>
        <w:t xml:space="preserve"> will be divided by 10 to get the total percentage of general meeting attendance.</w:t>
      </w:r>
      <w:r w:rsidR="00BC5A77" w:rsidRPr="001659DF">
        <w:rPr>
          <w:rFonts w:ascii="Arial" w:hAnsi="Arial" w:cs="Arial"/>
          <w:sz w:val="20"/>
          <w:szCs w:val="20"/>
        </w:rPr>
        <w:t xml:space="preserve"> If an agency has </w:t>
      </w:r>
      <w:r w:rsidR="004F6E8B" w:rsidRPr="001659DF">
        <w:rPr>
          <w:rFonts w:ascii="Arial" w:hAnsi="Arial" w:cs="Arial"/>
          <w:sz w:val="20"/>
          <w:szCs w:val="20"/>
        </w:rPr>
        <w:t>not attended</w:t>
      </w:r>
      <w:r w:rsidR="00BC5A77" w:rsidRPr="001659DF">
        <w:rPr>
          <w:rFonts w:ascii="Arial" w:hAnsi="Arial" w:cs="Arial"/>
          <w:sz w:val="20"/>
          <w:szCs w:val="20"/>
        </w:rPr>
        <w:t xml:space="preserve"> at least 5</w:t>
      </w:r>
      <w:r w:rsidR="004D7A66" w:rsidRPr="001659DF">
        <w:rPr>
          <w:rFonts w:ascii="Arial" w:hAnsi="Arial" w:cs="Arial"/>
          <w:sz w:val="20"/>
          <w:szCs w:val="20"/>
        </w:rPr>
        <w:t xml:space="preserve"> out of 10</w:t>
      </w:r>
      <w:r w:rsidR="00BC5A77" w:rsidRPr="001659DF">
        <w:rPr>
          <w:rFonts w:ascii="Arial" w:hAnsi="Arial" w:cs="Arial"/>
          <w:sz w:val="20"/>
          <w:szCs w:val="20"/>
        </w:rPr>
        <w:t xml:space="preserve"> scheduled CoC General Meetings</w:t>
      </w:r>
      <w:r w:rsidR="00BE6621" w:rsidRPr="001659DF">
        <w:rPr>
          <w:rFonts w:ascii="Arial" w:hAnsi="Arial" w:cs="Arial"/>
          <w:sz w:val="20"/>
          <w:szCs w:val="20"/>
        </w:rPr>
        <w:t>, the agency</w:t>
      </w:r>
      <w:r w:rsidR="00BC5A77" w:rsidRPr="001659DF">
        <w:rPr>
          <w:rFonts w:ascii="Arial" w:hAnsi="Arial" w:cs="Arial"/>
          <w:sz w:val="20"/>
          <w:szCs w:val="20"/>
        </w:rPr>
        <w:t xml:space="preserve"> will fail to meet the threshold for this measure.</w:t>
      </w:r>
      <w:r w:rsidR="001A13FF" w:rsidRPr="001659DF">
        <w:rPr>
          <w:rFonts w:ascii="Arial" w:hAnsi="Arial" w:cs="Arial"/>
          <w:sz w:val="20"/>
          <w:szCs w:val="20"/>
        </w:rPr>
        <w:t xml:space="preserve"> </w:t>
      </w:r>
      <w:r w:rsidR="001A13FF" w:rsidRPr="001659DF">
        <w:rPr>
          <w:rFonts w:ascii="Arial" w:hAnsi="Arial" w:cs="Arial"/>
          <w:b/>
          <w:sz w:val="20"/>
          <w:szCs w:val="20"/>
        </w:rPr>
        <w:t xml:space="preserve"> </w:t>
      </w:r>
    </w:p>
    <w:p w14:paraId="7DD7411B" w14:textId="77777777" w:rsidR="00E6202A" w:rsidRDefault="00E6202A" w:rsidP="00E6202A">
      <w:pPr>
        <w:pStyle w:val="ListParagraph"/>
        <w:spacing w:after="0" w:line="240" w:lineRule="auto"/>
        <w:rPr>
          <w:rFonts w:ascii="Arial" w:hAnsi="Arial" w:cs="Arial"/>
          <w:b/>
          <w:sz w:val="20"/>
          <w:szCs w:val="20"/>
        </w:rPr>
      </w:pPr>
    </w:p>
    <w:p w14:paraId="3BE5F86F" w14:textId="1B6295AE" w:rsidR="00B2538D" w:rsidRPr="00B2538D" w:rsidRDefault="00B2538D" w:rsidP="00B2538D">
      <w:pPr>
        <w:spacing w:after="0" w:line="240" w:lineRule="auto"/>
        <w:jc w:val="center"/>
        <w:rPr>
          <w:rFonts w:ascii="Arial" w:hAnsi="Arial" w:cs="Arial"/>
          <w:b/>
          <w:sz w:val="20"/>
          <w:szCs w:val="20"/>
        </w:rPr>
      </w:pPr>
      <w:r w:rsidRPr="00B2538D">
        <w:rPr>
          <w:rFonts w:ascii="Arial" w:hAnsi="Arial" w:cs="Arial"/>
          <w:b/>
          <w:sz w:val="20"/>
          <w:szCs w:val="20"/>
        </w:rPr>
        <w:t>S</w:t>
      </w:r>
      <w:r w:rsidR="00E6202A" w:rsidRPr="00B2538D">
        <w:rPr>
          <w:rFonts w:ascii="Arial" w:hAnsi="Arial" w:cs="Arial"/>
          <w:b/>
          <w:sz w:val="20"/>
          <w:szCs w:val="20"/>
        </w:rPr>
        <w:t xml:space="preserve">ection </w:t>
      </w:r>
      <w:r w:rsidR="006C6158">
        <w:rPr>
          <w:rFonts w:ascii="Arial" w:hAnsi="Arial" w:cs="Arial"/>
          <w:b/>
          <w:sz w:val="20"/>
          <w:szCs w:val="20"/>
        </w:rPr>
        <w:t>6</w:t>
      </w:r>
    </w:p>
    <w:p w14:paraId="060B0F70" w14:textId="7A7F486F" w:rsidR="00E6202A" w:rsidRDefault="00B2538D" w:rsidP="00B2538D">
      <w:pPr>
        <w:spacing w:after="0" w:line="240" w:lineRule="auto"/>
        <w:jc w:val="center"/>
        <w:rPr>
          <w:rFonts w:ascii="Arial" w:hAnsi="Arial" w:cs="Arial"/>
          <w:b/>
          <w:sz w:val="20"/>
          <w:szCs w:val="20"/>
        </w:rPr>
      </w:pPr>
      <w:r w:rsidRPr="00B2538D">
        <w:rPr>
          <w:rFonts w:ascii="Arial" w:hAnsi="Arial" w:cs="Arial"/>
          <w:b/>
          <w:sz w:val="20"/>
          <w:szCs w:val="20"/>
        </w:rPr>
        <w:t>Test Items</w:t>
      </w:r>
    </w:p>
    <w:p w14:paraId="2FCFDBBE" w14:textId="77777777" w:rsidR="007D2426" w:rsidRPr="00B2538D" w:rsidRDefault="007D2426" w:rsidP="00B2538D">
      <w:pPr>
        <w:spacing w:after="0" w:line="240" w:lineRule="auto"/>
        <w:jc w:val="center"/>
        <w:rPr>
          <w:rFonts w:ascii="Arial" w:hAnsi="Arial" w:cs="Arial"/>
          <w:b/>
          <w:sz w:val="20"/>
          <w:szCs w:val="20"/>
        </w:rPr>
      </w:pPr>
    </w:p>
    <w:p w14:paraId="35B8BC5B" w14:textId="390E7338" w:rsidR="004F6E8B" w:rsidRPr="00F672C6" w:rsidRDefault="007D2426" w:rsidP="00F672C6">
      <w:pPr>
        <w:rPr>
          <w:rFonts w:ascii="Arial" w:hAnsi="Arial" w:cs="Arial"/>
          <w:b/>
          <w:sz w:val="20"/>
          <w:szCs w:val="20"/>
        </w:rPr>
      </w:pPr>
      <w:r w:rsidRPr="007D2426">
        <w:rPr>
          <w:rFonts w:ascii="Arial" w:hAnsi="Arial" w:cs="Arial"/>
          <w:b/>
          <w:sz w:val="20"/>
          <w:szCs w:val="20"/>
        </w:rPr>
        <w:t>Important Note:</w:t>
      </w:r>
      <w:r>
        <w:rPr>
          <w:rFonts w:ascii="Arial" w:hAnsi="Arial" w:cs="Arial"/>
          <w:sz w:val="20"/>
          <w:szCs w:val="20"/>
        </w:rPr>
        <w:t xml:space="preserve"> </w:t>
      </w:r>
      <w:r w:rsidR="00F172DD">
        <w:rPr>
          <w:rFonts w:ascii="Arial" w:hAnsi="Arial" w:cs="Arial"/>
          <w:sz w:val="20"/>
          <w:szCs w:val="20"/>
        </w:rPr>
        <w:t>This section is</w:t>
      </w:r>
      <w:r>
        <w:rPr>
          <w:rFonts w:ascii="Arial" w:hAnsi="Arial" w:cs="Arial"/>
          <w:sz w:val="20"/>
          <w:szCs w:val="20"/>
        </w:rPr>
        <w:t xml:space="preserve"> </w:t>
      </w:r>
      <w:r w:rsidR="00B2538D" w:rsidRPr="007D2426">
        <w:rPr>
          <w:rFonts w:ascii="Arial" w:hAnsi="Arial" w:cs="Arial"/>
          <w:b/>
          <w:sz w:val="20"/>
          <w:szCs w:val="20"/>
          <w:u w:val="single"/>
        </w:rPr>
        <w:t>not</w:t>
      </w:r>
      <w:r w:rsidR="00B2538D" w:rsidRPr="007D2426">
        <w:rPr>
          <w:rFonts w:ascii="Arial" w:hAnsi="Arial" w:cs="Arial"/>
          <w:sz w:val="20"/>
          <w:szCs w:val="20"/>
        </w:rPr>
        <w:t xml:space="preserve"> </w:t>
      </w:r>
      <w:r>
        <w:rPr>
          <w:rFonts w:ascii="Arial" w:hAnsi="Arial" w:cs="Arial"/>
          <w:sz w:val="20"/>
          <w:szCs w:val="20"/>
        </w:rPr>
        <w:t>part of the</w:t>
      </w:r>
      <w:r w:rsidR="00F172DD">
        <w:rPr>
          <w:rFonts w:ascii="Arial" w:hAnsi="Arial" w:cs="Arial"/>
          <w:sz w:val="20"/>
          <w:szCs w:val="20"/>
        </w:rPr>
        <w:t xml:space="preserve"> FY2017</w:t>
      </w:r>
      <w:r>
        <w:rPr>
          <w:rFonts w:ascii="Arial" w:hAnsi="Arial" w:cs="Arial"/>
          <w:sz w:val="20"/>
          <w:szCs w:val="20"/>
        </w:rPr>
        <w:t xml:space="preserve"> total project </w:t>
      </w:r>
      <w:r w:rsidR="00F172DD">
        <w:rPr>
          <w:rFonts w:ascii="Arial" w:hAnsi="Arial" w:cs="Arial"/>
          <w:sz w:val="20"/>
          <w:szCs w:val="20"/>
        </w:rPr>
        <w:t>score</w:t>
      </w:r>
      <w:r>
        <w:rPr>
          <w:rFonts w:ascii="Arial" w:hAnsi="Arial" w:cs="Arial"/>
          <w:sz w:val="20"/>
          <w:szCs w:val="20"/>
        </w:rPr>
        <w:t xml:space="preserve">. </w:t>
      </w:r>
      <w:r w:rsidR="00F672C6">
        <w:rPr>
          <w:rFonts w:ascii="Arial" w:hAnsi="Arial" w:cs="Arial"/>
          <w:sz w:val="20"/>
          <w:szCs w:val="20"/>
        </w:rPr>
        <w:t xml:space="preserve">They are test questions to begin evaluating performance in the specified areas. These questions may be scored during </w:t>
      </w:r>
      <w:r w:rsidR="00F172DD">
        <w:rPr>
          <w:rFonts w:ascii="Arial" w:hAnsi="Arial" w:cs="Arial"/>
          <w:sz w:val="20"/>
          <w:szCs w:val="20"/>
        </w:rPr>
        <w:t>future</w:t>
      </w:r>
      <w:r w:rsidR="00F672C6">
        <w:rPr>
          <w:rFonts w:ascii="Arial" w:hAnsi="Arial" w:cs="Arial"/>
          <w:sz w:val="20"/>
          <w:szCs w:val="20"/>
        </w:rPr>
        <w:t xml:space="preserve"> competition</w:t>
      </w:r>
      <w:r w:rsidR="00F172DD">
        <w:rPr>
          <w:rFonts w:ascii="Arial" w:hAnsi="Arial" w:cs="Arial"/>
          <w:sz w:val="20"/>
          <w:szCs w:val="20"/>
        </w:rPr>
        <w:t>s</w:t>
      </w:r>
      <w:r w:rsidR="00F672C6">
        <w:rPr>
          <w:rFonts w:ascii="Arial" w:hAnsi="Arial" w:cs="Arial"/>
          <w:sz w:val="20"/>
          <w:szCs w:val="20"/>
        </w:rPr>
        <w:t>.</w:t>
      </w:r>
    </w:p>
    <w:p w14:paraId="7D8ECF11" w14:textId="7F0D50AE" w:rsidR="00393C86" w:rsidRDefault="004F6E8B" w:rsidP="004226C6">
      <w:pPr>
        <w:pStyle w:val="ListParagraph"/>
        <w:numPr>
          <w:ilvl w:val="0"/>
          <w:numId w:val="17"/>
        </w:numPr>
        <w:rPr>
          <w:rFonts w:ascii="Arial" w:hAnsi="Arial" w:cs="Arial"/>
          <w:b/>
          <w:sz w:val="20"/>
          <w:szCs w:val="20"/>
        </w:rPr>
      </w:pPr>
      <w:r>
        <w:rPr>
          <w:rFonts w:ascii="Arial" w:hAnsi="Arial" w:cs="Arial"/>
          <w:b/>
          <w:sz w:val="20"/>
          <w:szCs w:val="20"/>
        </w:rPr>
        <w:t>Client project enrollment to move-in date</w:t>
      </w:r>
    </w:p>
    <w:p w14:paraId="3CDD1554" w14:textId="41455986" w:rsidR="00393C86" w:rsidRPr="00F172DD" w:rsidRDefault="00393C86" w:rsidP="004226C6">
      <w:pPr>
        <w:pStyle w:val="ListParagraph"/>
        <w:numPr>
          <w:ilvl w:val="0"/>
          <w:numId w:val="18"/>
        </w:numPr>
        <w:rPr>
          <w:rFonts w:ascii="Arial" w:hAnsi="Arial" w:cs="Arial"/>
          <w:b/>
          <w:sz w:val="20"/>
          <w:szCs w:val="20"/>
        </w:rPr>
      </w:pPr>
      <w:r>
        <w:rPr>
          <w:rFonts w:ascii="Arial" w:hAnsi="Arial" w:cs="Arial"/>
          <w:b/>
          <w:sz w:val="20"/>
          <w:szCs w:val="20"/>
        </w:rPr>
        <w:t>Purpose:</w:t>
      </w:r>
      <w:r w:rsidR="00D52F5D">
        <w:rPr>
          <w:rFonts w:ascii="Arial" w:hAnsi="Arial" w:cs="Arial"/>
          <w:b/>
          <w:sz w:val="20"/>
          <w:szCs w:val="20"/>
        </w:rPr>
        <w:t xml:space="preserve"> </w:t>
      </w:r>
      <w:r w:rsidR="00D52F5D">
        <w:rPr>
          <w:rFonts w:ascii="Arial" w:hAnsi="Arial" w:cs="Arial"/>
          <w:sz w:val="20"/>
          <w:szCs w:val="20"/>
        </w:rPr>
        <w:t xml:space="preserve">TX-601 set a community-wide goal to house clients within 60 days of project </w:t>
      </w:r>
      <w:r w:rsidR="00D52F5D" w:rsidRPr="00F172DD">
        <w:rPr>
          <w:rFonts w:ascii="Arial" w:hAnsi="Arial" w:cs="Arial"/>
          <w:sz w:val="20"/>
          <w:szCs w:val="20"/>
        </w:rPr>
        <w:t>enrollment.</w:t>
      </w:r>
      <w:r w:rsidR="00F172DD" w:rsidRPr="00F172DD">
        <w:rPr>
          <w:rFonts w:ascii="Arial" w:hAnsi="Arial" w:cs="Arial"/>
          <w:sz w:val="20"/>
          <w:szCs w:val="20"/>
        </w:rPr>
        <w:t xml:space="preserve"> This metric will allow TX-601 to measure progress </w:t>
      </w:r>
      <w:r w:rsidR="006C6158">
        <w:rPr>
          <w:rFonts w:ascii="Arial" w:hAnsi="Arial" w:cs="Arial"/>
          <w:sz w:val="20"/>
          <w:szCs w:val="20"/>
        </w:rPr>
        <w:t>towards</w:t>
      </w:r>
      <w:r w:rsidR="00F172DD" w:rsidRPr="00F172DD">
        <w:rPr>
          <w:rFonts w:ascii="Arial" w:hAnsi="Arial" w:cs="Arial"/>
          <w:sz w:val="20"/>
          <w:szCs w:val="20"/>
        </w:rPr>
        <w:t xml:space="preserve"> reaching this goal.</w:t>
      </w:r>
    </w:p>
    <w:p w14:paraId="632BC047" w14:textId="2480538D" w:rsidR="00393C86" w:rsidRPr="00F172DD" w:rsidRDefault="005E19D2" w:rsidP="004226C6">
      <w:pPr>
        <w:pStyle w:val="ListParagraph"/>
        <w:numPr>
          <w:ilvl w:val="0"/>
          <w:numId w:val="18"/>
        </w:numPr>
        <w:rPr>
          <w:rFonts w:ascii="Arial" w:hAnsi="Arial" w:cs="Arial"/>
          <w:b/>
          <w:sz w:val="20"/>
          <w:szCs w:val="20"/>
        </w:rPr>
      </w:pPr>
      <w:r w:rsidRPr="00F172DD">
        <w:rPr>
          <w:rFonts w:ascii="Arial" w:hAnsi="Arial" w:cs="Arial"/>
          <w:b/>
          <w:sz w:val="20"/>
          <w:szCs w:val="20"/>
        </w:rPr>
        <w:t>Scoring Metric:</w:t>
      </w:r>
      <w:r w:rsidR="0006731E" w:rsidRPr="00F172DD">
        <w:rPr>
          <w:rFonts w:ascii="Arial" w:hAnsi="Arial" w:cs="Arial"/>
          <w:b/>
          <w:sz w:val="20"/>
          <w:szCs w:val="20"/>
        </w:rPr>
        <w:t xml:space="preserve"> </w:t>
      </w:r>
      <w:r w:rsidR="00F172DD" w:rsidRPr="00F172DD">
        <w:rPr>
          <w:rFonts w:ascii="Arial" w:hAnsi="Arial" w:cs="Arial"/>
          <w:sz w:val="20"/>
          <w:szCs w:val="20"/>
        </w:rPr>
        <w:t>Projects will be evaluated based on the length of time from project enrollment to move-in. Projects that meet the 60</w:t>
      </w:r>
      <w:r w:rsidR="00214438">
        <w:rPr>
          <w:rFonts w:ascii="Arial" w:hAnsi="Arial" w:cs="Arial"/>
          <w:sz w:val="20"/>
          <w:szCs w:val="20"/>
        </w:rPr>
        <w:t>-</w:t>
      </w:r>
      <w:r w:rsidR="00F172DD" w:rsidRPr="00F172DD">
        <w:rPr>
          <w:rFonts w:ascii="Arial" w:hAnsi="Arial" w:cs="Arial"/>
          <w:sz w:val="20"/>
          <w:szCs w:val="20"/>
        </w:rPr>
        <w:t>day criteria will exceed this measure.</w:t>
      </w:r>
    </w:p>
    <w:p w14:paraId="2E809F8C" w14:textId="497DD774" w:rsidR="005E19D2" w:rsidRPr="00050F95" w:rsidRDefault="005E19D2" w:rsidP="004226C6">
      <w:pPr>
        <w:pStyle w:val="ListParagraph"/>
        <w:numPr>
          <w:ilvl w:val="0"/>
          <w:numId w:val="18"/>
        </w:numPr>
        <w:rPr>
          <w:rFonts w:ascii="Arial" w:hAnsi="Arial" w:cs="Arial"/>
          <w:b/>
          <w:sz w:val="20"/>
          <w:szCs w:val="20"/>
        </w:rPr>
      </w:pPr>
      <w:r w:rsidRPr="00F172DD">
        <w:rPr>
          <w:rFonts w:ascii="Arial" w:hAnsi="Arial" w:cs="Arial"/>
          <w:b/>
          <w:sz w:val="20"/>
          <w:szCs w:val="20"/>
        </w:rPr>
        <w:t>Calculation:</w:t>
      </w:r>
      <w:r w:rsidR="0006731E" w:rsidRPr="00F172DD">
        <w:rPr>
          <w:rFonts w:ascii="Arial" w:hAnsi="Arial" w:cs="Arial"/>
          <w:b/>
          <w:sz w:val="20"/>
          <w:szCs w:val="20"/>
        </w:rPr>
        <w:t xml:space="preserve"> </w:t>
      </w:r>
      <w:r w:rsidR="006C6158">
        <w:rPr>
          <w:rFonts w:ascii="Arial" w:hAnsi="Arial" w:cs="Arial"/>
          <w:sz w:val="20"/>
          <w:szCs w:val="20"/>
        </w:rPr>
        <w:t xml:space="preserve">An </w:t>
      </w:r>
      <w:r w:rsidR="00F172DD" w:rsidRPr="00F172DD">
        <w:rPr>
          <w:rFonts w:ascii="Arial" w:hAnsi="Arial" w:cs="Arial"/>
          <w:sz w:val="20"/>
          <w:szCs w:val="20"/>
        </w:rPr>
        <w:t>HMIS Report</w:t>
      </w:r>
      <w:r w:rsidR="006C6158">
        <w:rPr>
          <w:rFonts w:ascii="Arial" w:hAnsi="Arial" w:cs="Arial"/>
          <w:sz w:val="20"/>
          <w:szCs w:val="20"/>
        </w:rPr>
        <w:t xml:space="preserve"> will be used to calculate the time between project enrollment and move-in.</w:t>
      </w:r>
    </w:p>
    <w:p w14:paraId="7BBF60F1" w14:textId="77777777" w:rsidR="00050F95" w:rsidRPr="00F172DD" w:rsidRDefault="00050F95" w:rsidP="00050F95">
      <w:pPr>
        <w:pStyle w:val="ListParagraph"/>
        <w:ind w:left="1080"/>
        <w:rPr>
          <w:rFonts w:ascii="Arial" w:hAnsi="Arial" w:cs="Arial"/>
          <w:b/>
          <w:sz w:val="20"/>
          <w:szCs w:val="20"/>
        </w:rPr>
      </w:pPr>
    </w:p>
    <w:p w14:paraId="3AE6CCC4" w14:textId="5B9362F2" w:rsidR="005E19D2" w:rsidRDefault="004F6E8B" w:rsidP="004226C6">
      <w:pPr>
        <w:pStyle w:val="ListParagraph"/>
        <w:numPr>
          <w:ilvl w:val="0"/>
          <w:numId w:val="17"/>
        </w:numPr>
        <w:rPr>
          <w:rFonts w:ascii="Arial" w:hAnsi="Arial" w:cs="Arial"/>
          <w:b/>
          <w:sz w:val="20"/>
          <w:szCs w:val="20"/>
        </w:rPr>
      </w:pPr>
      <w:r>
        <w:rPr>
          <w:rFonts w:ascii="Arial" w:hAnsi="Arial" w:cs="Arial"/>
          <w:b/>
          <w:sz w:val="20"/>
          <w:szCs w:val="20"/>
        </w:rPr>
        <w:t xml:space="preserve">Participation in case conferencing, monthly meetings, </w:t>
      </w:r>
      <w:proofErr w:type="spellStart"/>
      <w:r>
        <w:rPr>
          <w:rFonts w:ascii="Arial" w:hAnsi="Arial" w:cs="Arial"/>
          <w:b/>
          <w:sz w:val="20"/>
          <w:szCs w:val="20"/>
        </w:rPr>
        <w:t>etc</w:t>
      </w:r>
      <w:proofErr w:type="spellEnd"/>
    </w:p>
    <w:p w14:paraId="4047D161" w14:textId="412F4427" w:rsidR="005E19D2" w:rsidRDefault="005E19D2" w:rsidP="004226C6">
      <w:pPr>
        <w:pStyle w:val="ListParagraph"/>
        <w:numPr>
          <w:ilvl w:val="0"/>
          <w:numId w:val="19"/>
        </w:numPr>
        <w:rPr>
          <w:rFonts w:ascii="Arial" w:hAnsi="Arial" w:cs="Arial"/>
          <w:b/>
          <w:sz w:val="20"/>
          <w:szCs w:val="20"/>
        </w:rPr>
      </w:pPr>
      <w:r>
        <w:rPr>
          <w:rFonts w:ascii="Arial" w:hAnsi="Arial" w:cs="Arial"/>
          <w:b/>
          <w:sz w:val="20"/>
          <w:szCs w:val="20"/>
        </w:rPr>
        <w:t xml:space="preserve">Purpose: </w:t>
      </w:r>
      <w:r w:rsidR="00014037">
        <w:rPr>
          <w:rFonts w:ascii="Arial" w:hAnsi="Arial" w:cs="Arial"/>
          <w:sz w:val="20"/>
          <w:szCs w:val="20"/>
        </w:rPr>
        <w:t xml:space="preserve">Each CoC-funded agency is required </w:t>
      </w:r>
      <w:r w:rsidR="00114BBA">
        <w:rPr>
          <w:rFonts w:ascii="Arial" w:hAnsi="Arial" w:cs="Arial"/>
          <w:sz w:val="20"/>
          <w:szCs w:val="20"/>
        </w:rPr>
        <w:t xml:space="preserve">by HUD </w:t>
      </w:r>
      <w:r w:rsidR="00014037">
        <w:rPr>
          <w:rFonts w:ascii="Arial" w:hAnsi="Arial" w:cs="Arial"/>
          <w:sz w:val="20"/>
          <w:szCs w:val="20"/>
        </w:rPr>
        <w:t xml:space="preserve">to participate in </w:t>
      </w:r>
      <w:r w:rsidR="00114BBA">
        <w:rPr>
          <w:rFonts w:ascii="Arial" w:hAnsi="Arial" w:cs="Arial"/>
          <w:sz w:val="20"/>
          <w:szCs w:val="20"/>
        </w:rPr>
        <w:t>the Coordinated Entry System. This measure i</w:t>
      </w:r>
      <w:r>
        <w:rPr>
          <w:rFonts w:ascii="Arial" w:hAnsi="Arial" w:cs="Arial"/>
          <w:sz w:val="20"/>
          <w:szCs w:val="20"/>
        </w:rPr>
        <w:t>ndicates if agenc</w:t>
      </w:r>
      <w:r w:rsidR="00114BBA">
        <w:rPr>
          <w:rFonts w:ascii="Arial" w:hAnsi="Arial" w:cs="Arial"/>
          <w:sz w:val="20"/>
          <w:szCs w:val="20"/>
        </w:rPr>
        <w:t>ies</w:t>
      </w:r>
      <w:r>
        <w:rPr>
          <w:rFonts w:ascii="Arial" w:hAnsi="Arial" w:cs="Arial"/>
          <w:sz w:val="20"/>
          <w:szCs w:val="20"/>
        </w:rPr>
        <w:t xml:space="preserve"> </w:t>
      </w:r>
      <w:r w:rsidR="00114BBA">
        <w:rPr>
          <w:rFonts w:ascii="Arial" w:hAnsi="Arial" w:cs="Arial"/>
          <w:sz w:val="20"/>
          <w:szCs w:val="20"/>
        </w:rPr>
        <w:t>are</w:t>
      </w:r>
      <w:r>
        <w:rPr>
          <w:rFonts w:ascii="Arial" w:hAnsi="Arial" w:cs="Arial"/>
          <w:sz w:val="20"/>
          <w:szCs w:val="20"/>
        </w:rPr>
        <w:t xml:space="preserve"> </w:t>
      </w:r>
      <w:r w:rsidR="00114BBA">
        <w:rPr>
          <w:rFonts w:ascii="Arial" w:hAnsi="Arial" w:cs="Arial"/>
          <w:sz w:val="20"/>
          <w:szCs w:val="20"/>
        </w:rPr>
        <w:t xml:space="preserve">actively </w:t>
      </w:r>
      <w:r>
        <w:rPr>
          <w:rFonts w:ascii="Arial" w:hAnsi="Arial" w:cs="Arial"/>
          <w:sz w:val="20"/>
          <w:szCs w:val="20"/>
        </w:rPr>
        <w:t>participating in Coordinated Entry</w:t>
      </w:r>
      <w:r w:rsidR="00114BBA">
        <w:rPr>
          <w:rFonts w:ascii="Arial" w:hAnsi="Arial" w:cs="Arial"/>
          <w:sz w:val="20"/>
          <w:szCs w:val="20"/>
        </w:rPr>
        <w:t>.</w:t>
      </w:r>
    </w:p>
    <w:p w14:paraId="6E818A59" w14:textId="136CCC47" w:rsidR="005E19D2" w:rsidRPr="00796B89" w:rsidRDefault="005E19D2" w:rsidP="004226C6">
      <w:pPr>
        <w:pStyle w:val="ListParagraph"/>
        <w:numPr>
          <w:ilvl w:val="0"/>
          <w:numId w:val="19"/>
        </w:numPr>
        <w:rPr>
          <w:rFonts w:ascii="Arial" w:hAnsi="Arial" w:cs="Arial"/>
          <w:b/>
          <w:sz w:val="20"/>
          <w:szCs w:val="20"/>
        </w:rPr>
      </w:pPr>
      <w:r w:rsidRPr="00796B89">
        <w:rPr>
          <w:rFonts w:ascii="Arial" w:hAnsi="Arial" w:cs="Arial"/>
          <w:b/>
          <w:sz w:val="20"/>
          <w:szCs w:val="20"/>
        </w:rPr>
        <w:t>Scoring Metric:</w:t>
      </w:r>
      <w:r w:rsidR="00321FE7" w:rsidRPr="00796B89">
        <w:rPr>
          <w:rFonts w:ascii="Arial" w:hAnsi="Arial" w:cs="Arial"/>
          <w:b/>
          <w:sz w:val="20"/>
          <w:szCs w:val="20"/>
        </w:rPr>
        <w:t xml:space="preserve"> </w:t>
      </w:r>
      <w:r w:rsidR="00097BD6" w:rsidRPr="00796B89">
        <w:rPr>
          <w:rFonts w:ascii="Arial" w:hAnsi="Arial" w:cs="Arial"/>
          <w:sz w:val="20"/>
          <w:szCs w:val="20"/>
        </w:rPr>
        <w:t xml:space="preserve">Agencies </w:t>
      </w:r>
      <w:r w:rsidR="00796B89" w:rsidRPr="00796B89">
        <w:rPr>
          <w:rFonts w:ascii="Arial" w:hAnsi="Arial" w:cs="Arial"/>
          <w:sz w:val="20"/>
          <w:szCs w:val="20"/>
        </w:rPr>
        <w:t xml:space="preserve">that do not attend at least 50% of case conferences and other Coordinated Entry-related meetings will fail to meet the threshold for this measure. </w:t>
      </w:r>
    </w:p>
    <w:p w14:paraId="3E3EAF28" w14:textId="3003C759" w:rsidR="005E19D2" w:rsidRPr="00050F95" w:rsidRDefault="005E19D2" w:rsidP="004226C6">
      <w:pPr>
        <w:pStyle w:val="ListParagraph"/>
        <w:numPr>
          <w:ilvl w:val="0"/>
          <w:numId w:val="19"/>
        </w:numPr>
        <w:rPr>
          <w:rFonts w:ascii="Arial" w:hAnsi="Arial" w:cs="Arial"/>
          <w:b/>
          <w:sz w:val="20"/>
          <w:szCs w:val="20"/>
        </w:rPr>
      </w:pPr>
      <w:r>
        <w:rPr>
          <w:rFonts w:ascii="Arial" w:hAnsi="Arial" w:cs="Arial"/>
          <w:b/>
          <w:sz w:val="20"/>
          <w:szCs w:val="20"/>
        </w:rPr>
        <w:t>Calculation:</w:t>
      </w:r>
      <w:r w:rsidR="00321FE7">
        <w:rPr>
          <w:rFonts w:ascii="Arial" w:hAnsi="Arial" w:cs="Arial"/>
          <w:b/>
          <w:sz w:val="20"/>
          <w:szCs w:val="20"/>
        </w:rPr>
        <w:t xml:space="preserve"> </w:t>
      </w:r>
      <w:r w:rsidR="00321FE7">
        <w:rPr>
          <w:rFonts w:ascii="Arial" w:hAnsi="Arial" w:cs="Arial"/>
          <w:sz w:val="20"/>
          <w:szCs w:val="20"/>
        </w:rPr>
        <w:t xml:space="preserve">Sign-in sheets will be used to determine the participation by each agency. </w:t>
      </w:r>
    </w:p>
    <w:p w14:paraId="1C036D29" w14:textId="77777777" w:rsidR="00050F95" w:rsidRPr="005E19D2" w:rsidRDefault="00050F95" w:rsidP="00050F95">
      <w:pPr>
        <w:pStyle w:val="ListParagraph"/>
        <w:ind w:left="1080"/>
        <w:rPr>
          <w:rFonts w:ascii="Arial" w:hAnsi="Arial" w:cs="Arial"/>
          <w:b/>
          <w:sz w:val="20"/>
          <w:szCs w:val="20"/>
        </w:rPr>
      </w:pPr>
    </w:p>
    <w:p w14:paraId="5B45BD09" w14:textId="5C06A6B0" w:rsidR="004F6E8B" w:rsidRDefault="004F6E8B" w:rsidP="004226C6">
      <w:pPr>
        <w:pStyle w:val="ListParagraph"/>
        <w:numPr>
          <w:ilvl w:val="0"/>
          <w:numId w:val="17"/>
        </w:numPr>
        <w:rPr>
          <w:rFonts w:ascii="Arial" w:hAnsi="Arial" w:cs="Arial"/>
          <w:b/>
          <w:sz w:val="20"/>
          <w:szCs w:val="20"/>
        </w:rPr>
      </w:pPr>
      <w:r>
        <w:rPr>
          <w:rFonts w:ascii="Arial" w:hAnsi="Arial" w:cs="Arial"/>
          <w:b/>
          <w:sz w:val="20"/>
          <w:szCs w:val="20"/>
        </w:rPr>
        <w:t xml:space="preserve">Percentage of newly enrolled clients from </w:t>
      </w:r>
      <w:proofErr w:type="spellStart"/>
      <w:r>
        <w:rPr>
          <w:rFonts w:ascii="Arial" w:hAnsi="Arial" w:cs="Arial"/>
          <w:b/>
          <w:sz w:val="20"/>
          <w:szCs w:val="20"/>
        </w:rPr>
        <w:t>HomeBase</w:t>
      </w:r>
      <w:proofErr w:type="spellEnd"/>
    </w:p>
    <w:p w14:paraId="06358768" w14:textId="3AC29F5C" w:rsidR="005E19D2" w:rsidRDefault="005E19D2" w:rsidP="004226C6">
      <w:pPr>
        <w:pStyle w:val="ListParagraph"/>
        <w:numPr>
          <w:ilvl w:val="0"/>
          <w:numId w:val="20"/>
        </w:numPr>
        <w:rPr>
          <w:rFonts w:ascii="Arial" w:hAnsi="Arial" w:cs="Arial"/>
          <w:b/>
          <w:sz w:val="20"/>
          <w:szCs w:val="20"/>
        </w:rPr>
      </w:pPr>
      <w:r>
        <w:rPr>
          <w:rFonts w:ascii="Arial" w:hAnsi="Arial" w:cs="Arial"/>
          <w:b/>
          <w:sz w:val="20"/>
          <w:szCs w:val="20"/>
        </w:rPr>
        <w:t xml:space="preserve">Purpose: </w:t>
      </w:r>
      <w:r w:rsidR="00F172DD">
        <w:rPr>
          <w:rFonts w:ascii="Arial" w:hAnsi="Arial" w:cs="Arial"/>
          <w:sz w:val="20"/>
          <w:szCs w:val="20"/>
        </w:rPr>
        <w:t xml:space="preserve">TX-601 set a community-wide goal of accepting at least 90% of clients referred from the </w:t>
      </w:r>
      <w:proofErr w:type="spellStart"/>
      <w:r w:rsidR="00F172DD">
        <w:rPr>
          <w:rFonts w:ascii="Arial" w:hAnsi="Arial" w:cs="Arial"/>
          <w:sz w:val="20"/>
          <w:szCs w:val="20"/>
        </w:rPr>
        <w:t>HomeBase</w:t>
      </w:r>
      <w:proofErr w:type="spellEnd"/>
      <w:r w:rsidR="00F172DD">
        <w:rPr>
          <w:rFonts w:ascii="Arial" w:hAnsi="Arial" w:cs="Arial"/>
          <w:sz w:val="20"/>
          <w:szCs w:val="20"/>
        </w:rPr>
        <w:t xml:space="preserve"> list (no more than 10% denial rate). This metric will allow TX-601 to measure progress </w:t>
      </w:r>
      <w:r w:rsidR="006C6158">
        <w:rPr>
          <w:rFonts w:ascii="Arial" w:hAnsi="Arial" w:cs="Arial"/>
          <w:sz w:val="20"/>
          <w:szCs w:val="20"/>
        </w:rPr>
        <w:t xml:space="preserve">towards </w:t>
      </w:r>
      <w:r w:rsidR="00F172DD">
        <w:rPr>
          <w:rFonts w:ascii="Arial" w:hAnsi="Arial" w:cs="Arial"/>
          <w:sz w:val="20"/>
          <w:szCs w:val="20"/>
        </w:rPr>
        <w:t>reaching this goal.</w:t>
      </w:r>
    </w:p>
    <w:p w14:paraId="5E547D71" w14:textId="627DBE07" w:rsidR="005E19D2" w:rsidRDefault="005E19D2" w:rsidP="004226C6">
      <w:pPr>
        <w:pStyle w:val="ListParagraph"/>
        <w:numPr>
          <w:ilvl w:val="0"/>
          <w:numId w:val="20"/>
        </w:numPr>
        <w:rPr>
          <w:rFonts w:ascii="Arial" w:hAnsi="Arial" w:cs="Arial"/>
          <w:b/>
          <w:sz w:val="20"/>
          <w:szCs w:val="20"/>
        </w:rPr>
      </w:pPr>
      <w:r>
        <w:rPr>
          <w:rFonts w:ascii="Arial" w:hAnsi="Arial" w:cs="Arial"/>
          <w:b/>
          <w:sz w:val="20"/>
          <w:szCs w:val="20"/>
        </w:rPr>
        <w:t xml:space="preserve">Scoring Metric: </w:t>
      </w:r>
      <w:r>
        <w:rPr>
          <w:rFonts w:ascii="Arial" w:hAnsi="Arial" w:cs="Arial"/>
          <w:sz w:val="20"/>
          <w:szCs w:val="20"/>
        </w:rPr>
        <w:t xml:space="preserve">Projects that do not accept at least 90% of clients from </w:t>
      </w:r>
      <w:proofErr w:type="spellStart"/>
      <w:r>
        <w:rPr>
          <w:rFonts w:ascii="Arial" w:hAnsi="Arial" w:cs="Arial"/>
          <w:sz w:val="20"/>
          <w:szCs w:val="20"/>
        </w:rPr>
        <w:t>HomeBase</w:t>
      </w:r>
      <w:proofErr w:type="spellEnd"/>
      <w:r>
        <w:rPr>
          <w:rFonts w:ascii="Arial" w:hAnsi="Arial" w:cs="Arial"/>
          <w:sz w:val="20"/>
          <w:szCs w:val="20"/>
        </w:rPr>
        <w:t xml:space="preserve"> will fail to meet the threshold for this requirement. </w:t>
      </w:r>
    </w:p>
    <w:p w14:paraId="1949CC9A" w14:textId="64A2FD4A" w:rsidR="005E19D2" w:rsidRPr="00050F95" w:rsidRDefault="005E19D2" w:rsidP="004226C6">
      <w:pPr>
        <w:pStyle w:val="ListParagraph"/>
        <w:numPr>
          <w:ilvl w:val="0"/>
          <w:numId w:val="20"/>
        </w:numPr>
        <w:rPr>
          <w:rFonts w:ascii="Arial" w:hAnsi="Arial" w:cs="Arial"/>
          <w:b/>
          <w:sz w:val="20"/>
          <w:szCs w:val="20"/>
        </w:rPr>
      </w:pPr>
      <w:r>
        <w:rPr>
          <w:rFonts w:ascii="Arial" w:hAnsi="Arial" w:cs="Arial"/>
          <w:b/>
          <w:sz w:val="20"/>
          <w:szCs w:val="20"/>
        </w:rPr>
        <w:lastRenderedPageBreak/>
        <w:t>Calculation:</w:t>
      </w:r>
      <w:r w:rsidR="00321FE7">
        <w:rPr>
          <w:rFonts w:ascii="Arial" w:hAnsi="Arial" w:cs="Arial"/>
          <w:b/>
          <w:sz w:val="20"/>
          <w:szCs w:val="20"/>
        </w:rPr>
        <w:t xml:space="preserve"> </w:t>
      </w:r>
      <w:r w:rsidR="00321FE7">
        <w:rPr>
          <w:rFonts w:ascii="Arial" w:hAnsi="Arial" w:cs="Arial"/>
          <w:sz w:val="20"/>
          <w:szCs w:val="20"/>
        </w:rPr>
        <w:t xml:space="preserve">The enrollment of new clients into a project will be calculated using </w:t>
      </w:r>
      <w:proofErr w:type="spellStart"/>
      <w:r w:rsidR="00321FE7">
        <w:rPr>
          <w:rFonts w:ascii="Arial" w:hAnsi="Arial" w:cs="Arial"/>
          <w:sz w:val="20"/>
          <w:szCs w:val="20"/>
        </w:rPr>
        <w:t>HomeBase</w:t>
      </w:r>
      <w:proofErr w:type="spellEnd"/>
      <w:r w:rsidR="00F172DD">
        <w:rPr>
          <w:rFonts w:ascii="Arial" w:hAnsi="Arial" w:cs="Arial"/>
          <w:sz w:val="20"/>
          <w:szCs w:val="20"/>
        </w:rPr>
        <w:t xml:space="preserve"> reports</w:t>
      </w:r>
      <w:r w:rsidR="00321FE7">
        <w:rPr>
          <w:rFonts w:ascii="Arial" w:hAnsi="Arial" w:cs="Arial"/>
          <w:sz w:val="20"/>
          <w:szCs w:val="20"/>
        </w:rPr>
        <w:t xml:space="preserve">. </w:t>
      </w:r>
    </w:p>
    <w:p w14:paraId="5BDBF48B" w14:textId="77777777" w:rsidR="00050F95" w:rsidRDefault="00050F95" w:rsidP="00050F95">
      <w:pPr>
        <w:pStyle w:val="ListParagraph"/>
        <w:ind w:left="1080"/>
        <w:rPr>
          <w:rFonts w:ascii="Arial" w:hAnsi="Arial" w:cs="Arial"/>
          <w:b/>
          <w:sz w:val="20"/>
          <w:szCs w:val="20"/>
        </w:rPr>
      </w:pPr>
    </w:p>
    <w:p w14:paraId="6D7958B5" w14:textId="03C22E8C" w:rsidR="004F6E8B" w:rsidRDefault="004F6E8B" w:rsidP="004226C6">
      <w:pPr>
        <w:pStyle w:val="ListParagraph"/>
        <w:numPr>
          <w:ilvl w:val="0"/>
          <w:numId w:val="17"/>
        </w:numPr>
        <w:rPr>
          <w:rFonts w:ascii="Arial" w:hAnsi="Arial" w:cs="Arial"/>
          <w:b/>
          <w:sz w:val="20"/>
          <w:szCs w:val="20"/>
        </w:rPr>
      </w:pPr>
      <w:r>
        <w:rPr>
          <w:rFonts w:ascii="Arial" w:hAnsi="Arial" w:cs="Arial"/>
          <w:b/>
          <w:sz w:val="20"/>
          <w:szCs w:val="20"/>
        </w:rPr>
        <w:t>Timeliness of data entry</w:t>
      </w:r>
    </w:p>
    <w:p w14:paraId="4B805340" w14:textId="71730CC4" w:rsidR="005E19D2" w:rsidRDefault="005E19D2" w:rsidP="004226C6">
      <w:pPr>
        <w:pStyle w:val="ListParagraph"/>
        <w:numPr>
          <w:ilvl w:val="0"/>
          <w:numId w:val="21"/>
        </w:numPr>
        <w:rPr>
          <w:rFonts w:ascii="Arial" w:hAnsi="Arial" w:cs="Arial"/>
          <w:b/>
          <w:sz w:val="20"/>
          <w:szCs w:val="20"/>
        </w:rPr>
      </w:pPr>
      <w:r>
        <w:rPr>
          <w:rFonts w:ascii="Arial" w:hAnsi="Arial" w:cs="Arial"/>
          <w:b/>
          <w:sz w:val="20"/>
          <w:szCs w:val="20"/>
        </w:rPr>
        <w:t xml:space="preserve">Purpose: </w:t>
      </w:r>
      <w:r>
        <w:rPr>
          <w:rFonts w:ascii="Arial" w:hAnsi="Arial" w:cs="Arial"/>
          <w:sz w:val="20"/>
          <w:szCs w:val="20"/>
        </w:rPr>
        <w:t>To ensure compliance and timely data entry in the HMIS</w:t>
      </w:r>
    </w:p>
    <w:p w14:paraId="6443B8DF" w14:textId="0C077BE3" w:rsidR="005E19D2" w:rsidRDefault="005E19D2" w:rsidP="004226C6">
      <w:pPr>
        <w:pStyle w:val="ListParagraph"/>
        <w:numPr>
          <w:ilvl w:val="0"/>
          <w:numId w:val="21"/>
        </w:numPr>
        <w:rPr>
          <w:rFonts w:ascii="Arial" w:hAnsi="Arial" w:cs="Arial"/>
          <w:b/>
          <w:sz w:val="20"/>
          <w:szCs w:val="20"/>
        </w:rPr>
      </w:pPr>
      <w:r>
        <w:rPr>
          <w:rFonts w:ascii="Arial" w:hAnsi="Arial" w:cs="Arial"/>
          <w:b/>
          <w:sz w:val="20"/>
          <w:szCs w:val="20"/>
        </w:rPr>
        <w:t xml:space="preserve">Scoring Metric: </w:t>
      </w:r>
      <w:r>
        <w:rPr>
          <w:rFonts w:ascii="Arial" w:hAnsi="Arial" w:cs="Arial"/>
          <w:sz w:val="20"/>
          <w:szCs w:val="20"/>
        </w:rPr>
        <w:t xml:space="preserve">Projects that enter client data within three days will meet the minimum threshold for this requirement. </w:t>
      </w:r>
    </w:p>
    <w:p w14:paraId="7EC17A1D" w14:textId="0C98EE55" w:rsidR="005E19D2" w:rsidRPr="004F6E8B" w:rsidRDefault="005E19D2" w:rsidP="004226C6">
      <w:pPr>
        <w:pStyle w:val="ListParagraph"/>
        <w:numPr>
          <w:ilvl w:val="0"/>
          <w:numId w:val="21"/>
        </w:numPr>
        <w:rPr>
          <w:rFonts w:ascii="Arial" w:hAnsi="Arial" w:cs="Arial"/>
          <w:b/>
          <w:sz w:val="20"/>
          <w:szCs w:val="20"/>
        </w:rPr>
      </w:pPr>
      <w:r>
        <w:rPr>
          <w:rFonts w:ascii="Arial" w:hAnsi="Arial" w:cs="Arial"/>
          <w:b/>
          <w:sz w:val="20"/>
          <w:szCs w:val="20"/>
        </w:rPr>
        <w:t xml:space="preserve">Calculation: </w:t>
      </w:r>
      <w:r>
        <w:rPr>
          <w:rFonts w:ascii="Arial" w:hAnsi="Arial" w:cs="Arial"/>
          <w:sz w:val="20"/>
          <w:szCs w:val="20"/>
        </w:rPr>
        <w:t xml:space="preserve">Timeliness will be evaluated based on </w:t>
      </w:r>
      <w:r w:rsidR="00321FE7">
        <w:rPr>
          <w:rFonts w:ascii="Arial" w:hAnsi="Arial" w:cs="Arial"/>
          <w:sz w:val="20"/>
          <w:szCs w:val="20"/>
        </w:rPr>
        <w:t xml:space="preserve">Q6 of the HUD Data Quality Report. </w:t>
      </w:r>
    </w:p>
    <w:p w14:paraId="2DB704A3" w14:textId="1EEC6E99" w:rsidR="008147DF" w:rsidRPr="00A870C4" w:rsidRDefault="00F36488" w:rsidP="00E6202A">
      <w:pPr>
        <w:spacing w:after="0" w:line="240" w:lineRule="auto"/>
        <w:jc w:val="center"/>
        <w:rPr>
          <w:rFonts w:ascii="Arial" w:hAnsi="Arial" w:cs="Arial"/>
          <w:b/>
          <w:sz w:val="20"/>
          <w:szCs w:val="20"/>
        </w:rPr>
      </w:pPr>
      <w:r>
        <w:rPr>
          <w:rFonts w:ascii="Arial" w:hAnsi="Arial" w:cs="Arial"/>
          <w:b/>
          <w:sz w:val="20"/>
          <w:szCs w:val="20"/>
        </w:rPr>
        <w:t xml:space="preserve">Section </w:t>
      </w:r>
      <w:r w:rsidR="006C6158">
        <w:rPr>
          <w:rFonts w:ascii="Arial" w:hAnsi="Arial" w:cs="Arial"/>
          <w:b/>
          <w:sz w:val="20"/>
          <w:szCs w:val="20"/>
        </w:rPr>
        <w:t>7</w:t>
      </w:r>
    </w:p>
    <w:p w14:paraId="582F801F" w14:textId="6D7F1BD8" w:rsidR="00056667" w:rsidRPr="00A870C4" w:rsidRDefault="00056667" w:rsidP="00E6202A">
      <w:pPr>
        <w:spacing w:after="0" w:line="240" w:lineRule="auto"/>
        <w:jc w:val="center"/>
        <w:rPr>
          <w:rFonts w:ascii="Arial" w:hAnsi="Arial" w:cs="Arial"/>
          <w:b/>
          <w:sz w:val="20"/>
          <w:szCs w:val="20"/>
        </w:rPr>
      </w:pPr>
      <w:r w:rsidRPr="00A870C4">
        <w:rPr>
          <w:rFonts w:ascii="Arial" w:hAnsi="Arial" w:cs="Arial"/>
          <w:b/>
          <w:sz w:val="20"/>
          <w:szCs w:val="20"/>
        </w:rPr>
        <w:t>Score Interpretation</w:t>
      </w:r>
    </w:p>
    <w:p w14:paraId="23E0D4C6" w14:textId="77777777" w:rsidR="007C55C4" w:rsidRPr="00A870C4" w:rsidRDefault="007C55C4" w:rsidP="007C55C4">
      <w:pPr>
        <w:spacing w:after="0" w:line="240" w:lineRule="auto"/>
        <w:rPr>
          <w:rFonts w:ascii="Arial" w:hAnsi="Arial" w:cs="Arial"/>
          <w:b/>
          <w:sz w:val="20"/>
          <w:szCs w:val="20"/>
        </w:rPr>
      </w:pPr>
    </w:p>
    <w:p w14:paraId="4F60C964" w14:textId="216BD520" w:rsidR="00A922E0" w:rsidRPr="00A870C4" w:rsidRDefault="008147DF" w:rsidP="007C55C4">
      <w:pPr>
        <w:spacing w:after="0" w:line="240" w:lineRule="auto"/>
        <w:rPr>
          <w:rFonts w:ascii="Arial" w:hAnsi="Arial" w:cs="Arial"/>
          <w:sz w:val="20"/>
          <w:szCs w:val="20"/>
        </w:rPr>
      </w:pPr>
      <w:r w:rsidRPr="00A870C4">
        <w:rPr>
          <w:rFonts w:ascii="Arial" w:hAnsi="Arial" w:cs="Arial"/>
          <w:b/>
          <w:sz w:val="20"/>
          <w:szCs w:val="20"/>
        </w:rPr>
        <w:t>Total Project Score</w:t>
      </w:r>
      <w:r w:rsidR="00A922E0" w:rsidRPr="00A870C4">
        <w:rPr>
          <w:rFonts w:ascii="Arial" w:hAnsi="Arial" w:cs="Arial"/>
          <w:b/>
          <w:sz w:val="20"/>
          <w:szCs w:val="20"/>
        </w:rPr>
        <w:t>:</w:t>
      </w:r>
      <w:r w:rsidR="00A922E0" w:rsidRPr="00A870C4">
        <w:rPr>
          <w:rFonts w:ascii="Arial" w:hAnsi="Arial" w:cs="Arial"/>
          <w:sz w:val="20"/>
          <w:szCs w:val="20"/>
        </w:rPr>
        <w:t xml:space="preserve"> The total </w:t>
      </w:r>
      <w:r w:rsidR="001659DF">
        <w:rPr>
          <w:rFonts w:ascii="Arial" w:hAnsi="Arial" w:cs="Arial"/>
          <w:sz w:val="20"/>
          <w:szCs w:val="20"/>
        </w:rPr>
        <w:t>project score</w:t>
      </w:r>
      <w:r w:rsidR="00651283" w:rsidRPr="00A870C4">
        <w:rPr>
          <w:rFonts w:ascii="Arial" w:hAnsi="Arial" w:cs="Arial"/>
          <w:sz w:val="20"/>
          <w:szCs w:val="20"/>
        </w:rPr>
        <w:t xml:space="preserve"> </w:t>
      </w:r>
      <w:r w:rsidR="00A922E0" w:rsidRPr="00A870C4">
        <w:rPr>
          <w:rFonts w:ascii="Arial" w:hAnsi="Arial" w:cs="Arial"/>
          <w:sz w:val="20"/>
          <w:szCs w:val="20"/>
        </w:rPr>
        <w:t xml:space="preserve">is calculated based on Total Possible Points as compared to Total Achieved Points.  </w:t>
      </w:r>
    </w:p>
    <w:p w14:paraId="3B3AFBF3" w14:textId="77777777" w:rsidR="007C55C4" w:rsidRPr="00A870C4" w:rsidRDefault="007C55C4" w:rsidP="007C55C4">
      <w:pPr>
        <w:spacing w:after="0" w:line="240" w:lineRule="auto"/>
        <w:rPr>
          <w:rFonts w:ascii="Arial" w:hAnsi="Arial" w:cs="Arial"/>
          <w:sz w:val="20"/>
          <w:szCs w:val="20"/>
        </w:rPr>
      </w:pPr>
    </w:p>
    <w:p w14:paraId="6F3CA5B6" w14:textId="3D16E36D" w:rsidR="008147DF" w:rsidRPr="00A870C4" w:rsidRDefault="00A922E0" w:rsidP="008147DF">
      <w:pPr>
        <w:rPr>
          <w:rFonts w:ascii="Arial" w:hAnsi="Arial" w:cs="Arial"/>
          <w:b/>
          <w:sz w:val="20"/>
          <w:szCs w:val="20"/>
        </w:rPr>
      </w:pPr>
      <w:r w:rsidRPr="00A870C4">
        <w:rPr>
          <w:rFonts w:ascii="Arial" w:hAnsi="Arial" w:cs="Arial"/>
          <w:sz w:val="20"/>
          <w:szCs w:val="20"/>
        </w:rPr>
        <w:t>For example, if there are 100 points available on the scorecard, but a project does not participate in HMIS and would otherwise lose 10 points</w:t>
      </w:r>
      <w:r w:rsidR="00651283" w:rsidRPr="00A870C4">
        <w:rPr>
          <w:rFonts w:ascii="Arial" w:hAnsi="Arial" w:cs="Arial"/>
          <w:sz w:val="20"/>
          <w:szCs w:val="20"/>
        </w:rPr>
        <w:t xml:space="preserve"> on that category</w:t>
      </w:r>
      <w:r w:rsidRPr="00A870C4">
        <w:rPr>
          <w:rFonts w:ascii="Arial" w:hAnsi="Arial" w:cs="Arial"/>
          <w:sz w:val="20"/>
          <w:szCs w:val="20"/>
        </w:rPr>
        <w:t>, then that agency is only eligible for 90 Total Possible Points</w:t>
      </w:r>
      <w:r w:rsidR="00651283" w:rsidRPr="00A870C4">
        <w:rPr>
          <w:rFonts w:ascii="Arial" w:hAnsi="Arial" w:cs="Arial"/>
          <w:sz w:val="20"/>
          <w:szCs w:val="20"/>
        </w:rPr>
        <w:t xml:space="preserve"> (versus the initial 100 points available)</w:t>
      </w:r>
      <w:r w:rsidRPr="00A870C4">
        <w:rPr>
          <w:rFonts w:ascii="Arial" w:hAnsi="Arial" w:cs="Arial"/>
          <w:sz w:val="20"/>
          <w:szCs w:val="20"/>
        </w:rPr>
        <w:t>.  If the project receives 70</w:t>
      </w:r>
      <w:r w:rsidR="00651283" w:rsidRPr="00A870C4">
        <w:rPr>
          <w:rFonts w:ascii="Arial" w:hAnsi="Arial" w:cs="Arial"/>
          <w:sz w:val="20"/>
          <w:szCs w:val="20"/>
        </w:rPr>
        <w:t xml:space="preserve"> points</w:t>
      </w:r>
      <w:r w:rsidRPr="00A870C4">
        <w:rPr>
          <w:rFonts w:ascii="Arial" w:hAnsi="Arial" w:cs="Arial"/>
          <w:sz w:val="20"/>
          <w:szCs w:val="20"/>
        </w:rPr>
        <w:t>, then the Total Project Score would be 70</w:t>
      </w:r>
      <w:r w:rsidR="00651283" w:rsidRPr="00A870C4">
        <w:rPr>
          <w:rFonts w:ascii="Arial" w:hAnsi="Arial" w:cs="Arial"/>
          <w:sz w:val="20"/>
          <w:szCs w:val="20"/>
        </w:rPr>
        <w:t xml:space="preserve"> Total Achieved Points </w:t>
      </w:r>
      <w:r w:rsidRPr="00A870C4">
        <w:rPr>
          <w:rFonts w:ascii="Arial" w:hAnsi="Arial" w:cs="Arial"/>
          <w:sz w:val="20"/>
          <w:szCs w:val="20"/>
        </w:rPr>
        <w:t>/</w:t>
      </w:r>
      <w:r w:rsidR="00651283" w:rsidRPr="00A870C4">
        <w:rPr>
          <w:rFonts w:ascii="Arial" w:hAnsi="Arial" w:cs="Arial"/>
          <w:sz w:val="20"/>
          <w:szCs w:val="20"/>
        </w:rPr>
        <w:t xml:space="preserve"> </w:t>
      </w:r>
      <w:r w:rsidRPr="00A870C4">
        <w:rPr>
          <w:rFonts w:ascii="Arial" w:hAnsi="Arial" w:cs="Arial"/>
          <w:sz w:val="20"/>
          <w:szCs w:val="20"/>
        </w:rPr>
        <w:t>90</w:t>
      </w:r>
      <w:r w:rsidR="00651283" w:rsidRPr="00A870C4">
        <w:rPr>
          <w:rFonts w:ascii="Arial" w:hAnsi="Arial" w:cs="Arial"/>
          <w:sz w:val="20"/>
          <w:szCs w:val="20"/>
        </w:rPr>
        <w:t xml:space="preserve"> Total Possible Points</w:t>
      </w:r>
      <w:r w:rsidRPr="00A870C4">
        <w:rPr>
          <w:rFonts w:ascii="Arial" w:hAnsi="Arial" w:cs="Arial"/>
          <w:sz w:val="20"/>
          <w:szCs w:val="20"/>
        </w:rPr>
        <w:t xml:space="preserve"> = </w:t>
      </w:r>
      <w:r w:rsidRPr="00A870C4">
        <w:rPr>
          <w:rFonts w:ascii="Arial" w:hAnsi="Arial" w:cs="Arial"/>
          <w:b/>
          <w:sz w:val="20"/>
          <w:szCs w:val="20"/>
        </w:rPr>
        <w:t>78%.</w:t>
      </w:r>
    </w:p>
    <w:p w14:paraId="3CE4AC60" w14:textId="2EEF8FDF" w:rsidR="00AF7A49" w:rsidRPr="00A870C4" w:rsidRDefault="00A546A4" w:rsidP="008147DF">
      <w:pPr>
        <w:rPr>
          <w:rFonts w:ascii="Arial" w:hAnsi="Arial" w:cs="Arial"/>
          <w:sz w:val="20"/>
          <w:szCs w:val="20"/>
        </w:rPr>
      </w:pPr>
      <w:r w:rsidRPr="00A870C4">
        <w:rPr>
          <w:rFonts w:ascii="Arial" w:hAnsi="Arial" w:cs="Arial"/>
          <w:b/>
          <w:sz w:val="20"/>
          <w:szCs w:val="20"/>
        </w:rPr>
        <w:t xml:space="preserve">Weighted Score: </w:t>
      </w:r>
      <w:r w:rsidR="00AF7A49" w:rsidRPr="00A870C4">
        <w:rPr>
          <w:rFonts w:ascii="Arial" w:hAnsi="Arial" w:cs="Arial"/>
          <w:sz w:val="20"/>
          <w:szCs w:val="20"/>
        </w:rPr>
        <w:t xml:space="preserve">There are </w:t>
      </w:r>
      <w:r w:rsidR="00C554E8">
        <w:rPr>
          <w:rFonts w:ascii="Arial" w:hAnsi="Arial" w:cs="Arial"/>
          <w:sz w:val="20"/>
          <w:szCs w:val="20"/>
        </w:rPr>
        <w:t>five</w:t>
      </w:r>
      <w:r w:rsidR="00AF7A49" w:rsidRPr="00A870C4">
        <w:rPr>
          <w:rFonts w:ascii="Arial" w:hAnsi="Arial" w:cs="Arial"/>
          <w:sz w:val="20"/>
          <w:szCs w:val="20"/>
        </w:rPr>
        <w:t xml:space="preserve"> sections on the scorecard: APR Performance Data</w:t>
      </w:r>
      <w:r w:rsidR="00C45615">
        <w:rPr>
          <w:rFonts w:ascii="Arial" w:hAnsi="Arial" w:cs="Arial"/>
          <w:sz w:val="20"/>
          <w:szCs w:val="20"/>
        </w:rPr>
        <w:t xml:space="preserve"> (4</w:t>
      </w:r>
      <w:r w:rsidR="00C554E8">
        <w:rPr>
          <w:rFonts w:ascii="Arial" w:hAnsi="Arial" w:cs="Arial"/>
          <w:sz w:val="20"/>
          <w:szCs w:val="20"/>
        </w:rPr>
        <w:t>0</w:t>
      </w:r>
      <w:r w:rsidRPr="00A870C4">
        <w:rPr>
          <w:rFonts w:ascii="Arial" w:hAnsi="Arial" w:cs="Arial"/>
          <w:sz w:val="20"/>
          <w:szCs w:val="20"/>
        </w:rPr>
        <w:t>%)</w:t>
      </w:r>
      <w:r w:rsidR="00AF7A49" w:rsidRPr="00A870C4">
        <w:rPr>
          <w:rFonts w:ascii="Arial" w:hAnsi="Arial" w:cs="Arial"/>
          <w:sz w:val="20"/>
          <w:szCs w:val="20"/>
        </w:rPr>
        <w:t xml:space="preserve">, </w:t>
      </w:r>
      <w:r w:rsidR="00C554E8">
        <w:rPr>
          <w:rFonts w:ascii="Arial" w:hAnsi="Arial" w:cs="Arial"/>
          <w:sz w:val="20"/>
          <w:szCs w:val="20"/>
        </w:rPr>
        <w:t xml:space="preserve">Utilization &amp; Expenditure (5%), </w:t>
      </w:r>
      <w:r w:rsidR="00AF7A49" w:rsidRPr="00A870C4">
        <w:rPr>
          <w:rFonts w:ascii="Arial" w:hAnsi="Arial" w:cs="Arial"/>
          <w:sz w:val="20"/>
          <w:szCs w:val="20"/>
        </w:rPr>
        <w:t>Financials</w:t>
      </w:r>
      <w:r w:rsidRPr="00A870C4">
        <w:rPr>
          <w:rFonts w:ascii="Arial" w:hAnsi="Arial" w:cs="Arial"/>
          <w:sz w:val="20"/>
          <w:szCs w:val="20"/>
        </w:rPr>
        <w:t xml:space="preserve"> (5%)</w:t>
      </w:r>
      <w:r w:rsidR="00AF7A49" w:rsidRPr="00A870C4">
        <w:rPr>
          <w:rFonts w:ascii="Arial" w:hAnsi="Arial" w:cs="Arial"/>
          <w:sz w:val="20"/>
          <w:szCs w:val="20"/>
        </w:rPr>
        <w:t>, HMIS &amp; Data Quality</w:t>
      </w:r>
      <w:r w:rsidRPr="00A870C4">
        <w:rPr>
          <w:rFonts w:ascii="Arial" w:hAnsi="Arial" w:cs="Arial"/>
          <w:sz w:val="20"/>
          <w:szCs w:val="20"/>
        </w:rPr>
        <w:t xml:space="preserve"> </w:t>
      </w:r>
      <w:r w:rsidR="00C45615">
        <w:rPr>
          <w:rFonts w:ascii="Arial" w:hAnsi="Arial" w:cs="Arial"/>
          <w:sz w:val="20"/>
          <w:szCs w:val="20"/>
        </w:rPr>
        <w:t>(4</w:t>
      </w:r>
      <w:r w:rsidRPr="00A870C4">
        <w:rPr>
          <w:rFonts w:ascii="Arial" w:hAnsi="Arial" w:cs="Arial"/>
          <w:sz w:val="20"/>
          <w:szCs w:val="20"/>
        </w:rPr>
        <w:t>5%)</w:t>
      </w:r>
      <w:r w:rsidR="00C45615">
        <w:rPr>
          <w:rFonts w:ascii="Arial" w:hAnsi="Arial" w:cs="Arial"/>
          <w:sz w:val="20"/>
          <w:szCs w:val="20"/>
        </w:rPr>
        <w:t>, and CoC Participation (5%)</w:t>
      </w:r>
      <w:r w:rsidR="00AF7A49" w:rsidRPr="00A870C4">
        <w:rPr>
          <w:rFonts w:ascii="Arial" w:hAnsi="Arial" w:cs="Arial"/>
          <w:sz w:val="20"/>
          <w:szCs w:val="20"/>
        </w:rPr>
        <w:t xml:space="preserve">. Each section is given its own score and weighted differently according to local and HUD priorities. </w:t>
      </w:r>
    </w:p>
    <w:p w14:paraId="17645D85" w14:textId="61251D9F" w:rsidR="00AF7A49" w:rsidRPr="00A870C4" w:rsidRDefault="00AF7A49" w:rsidP="008147DF">
      <w:pPr>
        <w:rPr>
          <w:rFonts w:ascii="Arial" w:hAnsi="Arial" w:cs="Arial"/>
          <w:sz w:val="20"/>
          <w:szCs w:val="20"/>
        </w:rPr>
      </w:pPr>
      <w:r w:rsidRPr="00A870C4">
        <w:rPr>
          <w:rFonts w:ascii="Arial" w:hAnsi="Arial" w:cs="Arial"/>
          <w:sz w:val="20"/>
          <w:szCs w:val="20"/>
        </w:rPr>
        <w:t xml:space="preserve">For example, </w:t>
      </w:r>
      <w:r w:rsidR="00A546A4" w:rsidRPr="00A870C4">
        <w:rPr>
          <w:rFonts w:ascii="Arial" w:hAnsi="Arial" w:cs="Arial"/>
          <w:sz w:val="20"/>
          <w:szCs w:val="20"/>
        </w:rPr>
        <w:t>i</w:t>
      </w:r>
      <w:r w:rsidRPr="00A870C4">
        <w:rPr>
          <w:rFonts w:ascii="Arial" w:hAnsi="Arial" w:cs="Arial"/>
          <w:sz w:val="20"/>
          <w:szCs w:val="20"/>
        </w:rPr>
        <w:t xml:space="preserve">f there are 70 points eligible in the APR category for a project, and the project receives 50 points, then the weighted score would be </w:t>
      </w:r>
      <w:r w:rsidR="00A546A4" w:rsidRPr="00A870C4">
        <w:rPr>
          <w:rFonts w:ascii="Arial" w:hAnsi="Arial" w:cs="Arial"/>
          <w:sz w:val="20"/>
          <w:szCs w:val="20"/>
        </w:rPr>
        <w:t>(</w:t>
      </w:r>
      <w:r w:rsidR="00214438">
        <w:rPr>
          <w:rFonts w:ascii="Arial" w:hAnsi="Arial" w:cs="Arial"/>
          <w:sz w:val="20"/>
          <w:szCs w:val="20"/>
        </w:rPr>
        <w:t>40 APR Achieved Points / 5</w:t>
      </w:r>
      <w:r w:rsidRPr="00A870C4">
        <w:rPr>
          <w:rFonts w:ascii="Arial" w:hAnsi="Arial" w:cs="Arial"/>
          <w:sz w:val="20"/>
          <w:szCs w:val="20"/>
        </w:rPr>
        <w:t>0 Possible APR Points</w:t>
      </w:r>
      <w:r w:rsidR="00A546A4" w:rsidRPr="00A870C4">
        <w:rPr>
          <w:rFonts w:ascii="Arial" w:hAnsi="Arial" w:cs="Arial"/>
          <w:sz w:val="20"/>
          <w:szCs w:val="20"/>
        </w:rPr>
        <w:t xml:space="preserve">) * </w:t>
      </w:r>
      <w:r w:rsidR="00214438">
        <w:rPr>
          <w:rFonts w:ascii="Arial" w:hAnsi="Arial" w:cs="Arial"/>
          <w:sz w:val="20"/>
          <w:szCs w:val="20"/>
        </w:rPr>
        <w:t>4</w:t>
      </w:r>
      <w:r w:rsidR="00A546A4" w:rsidRPr="00A870C4">
        <w:rPr>
          <w:rFonts w:ascii="Arial" w:hAnsi="Arial" w:cs="Arial"/>
          <w:sz w:val="20"/>
          <w:szCs w:val="20"/>
        </w:rPr>
        <w:t>0%</w:t>
      </w:r>
      <w:r w:rsidR="00C43614">
        <w:rPr>
          <w:rFonts w:ascii="Arial" w:hAnsi="Arial" w:cs="Arial"/>
          <w:sz w:val="20"/>
          <w:szCs w:val="20"/>
        </w:rPr>
        <w:t xml:space="preserve"> = 32</w:t>
      </w:r>
      <w:r w:rsidRPr="00A870C4">
        <w:rPr>
          <w:rFonts w:ascii="Arial" w:hAnsi="Arial" w:cs="Arial"/>
          <w:sz w:val="20"/>
          <w:szCs w:val="20"/>
        </w:rPr>
        <w:t>% Achieved for APR Performance Data.</w:t>
      </w:r>
      <w:bookmarkStart w:id="0" w:name="_GoBack"/>
      <w:bookmarkEnd w:id="0"/>
    </w:p>
    <w:p w14:paraId="29385EBB" w14:textId="77777777" w:rsidR="00A546A4" w:rsidRPr="00A870C4" w:rsidRDefault="00A546A4" w:rsidP="00A546A4">
      <w:pPr>
        <w:jc w:val="center"/>
        <w:rPr>
          <w:rFonts w:ascii="Arial" w:hAnsi="Arial" w:cs="Arial"/>
          <w:b/>
          <w:sz w:val="20"/>
          <w:szCs w:val="20"/>
        </w:rPr>
      </w:pPr>
      <w:r w:rsidRPr="00A870C4">
        <w:rPr>
          <w:rFonts w:ascii="Arial" w:hAnsi="Arial" w:cs="Arial"/>
          <w:b/>
          <w:sz w:val="20"/>
          <w:szCs w:val="20"/>
        </w:rPr>
        <w:t>Percentage Achieved Formula = (Total Points Achieved / Total Points Available) * Category Weight</w:t>
      </w:r>
    </w:p>
    <w:p w14:paraId="4C5197A3" w14:textId="16BB0A0B" w:rsidR="00AF7A49" w:rsidRPr="00A870C4" w:rsidRDefault="00AF7A49" w:rsidP="008147DF">
      <w:pPr>
        <w:rPr>
          <w:rFonts w:ascii="Arial" w:hAnsi="Arial" w:cs="Arial"/>
          <w:sz w:val="20"/>
          <w:szCs w:val="20"/>
        </w:rPr>
      </w:pPr>
      <w:r w:rsidRPr="00A870C4">
        <w:rPr>
          <w:rFonts w:ascii="Arial" w:hAnsi="Arial" w:cs="Arial"/>
          <w:sz w:val="20"/>
          <w:szCs w:val="20"/>
        </w:rPr>
        <w:t xml:space="preserve">The percentage achieved </w:t>
      </w:r>
      <w:r w:rsidR="002575DF" w:rsidRPr="00A870C4">
        <w:rPr>
          <w:rFonts w:ascii="Arial" w:hAnsi="Arial" w:cs="Arial"/>
          <w:sz w:val="20"/>
          <w:szCs w:val="20"/>
        </w:rPr>
        <w:t xml:space="preserve">for each category is added together resulting in the Total </w:t>
      </w:r>
      <w:r w:rsidR="00A546A4" w:rsidRPr="00A870C4">
        <w:rPr>
          <w:rFonts w:ascii="Arial" w:hAnsi="Arial" w:cs="Arial"/>
          <w:sz w:val="20"/>
          <w:szCs w:val="20"/>
        </w:rPr>
        <w:t>Project Score</w:t>
      </w:r>
      <w:r w:rsidR="002575DF" w:rsidRPr="00A870C4">
        <w:rPr>
          <w:rFonts w:ascii="Arial" w:hAnsi="Arial" w:cs="Arial"/>
          <w:sz w:val="20"/>
          <w:szCs w:val="20"/>
        </w:rPr>
        <w:t xml:space="preserve">. </w:t>
      </w:r>
    </w:p>
    <w:p w14:paraId="026F2FBB" w14:textId="1D4A5F56" w:rsidR="00C45615" w:rsidRDefault="00A546A4" w:rsidP="00B2538D">
      <w:pPr>
        <w:jc w:val="center"/>
        <w:rPr>
          <w:rFonts w:ascii="Arial" w:hAnsi="Arial" w:cs="Arial"/>
          <w:b/>
          <w:sz w:val="20"/>
          <w:szCs w:val="20"/>
        </w:rPr>
      </w:pPr>
      <w:r w:rsidRPr="00A870C4">
        <w:rPr>
          <w:rFonts w:ascii="Arial" w:hAnsi="Arial" w:cs="Arial"/>
          <w:b/>
          <w:sz w:val="20"/>
          <w:szCs w:val="20"/>
        </w:rPr>
        <w:t xml:space="preserve">Total Project Score = APR Performance Data Weighted Percentage + </w:t>
      </w:r>
      <w:r w:rsidR="00000AF6">
        <w:rPr>
          <w:rFonts w:ascii="Arial" w:hAnsi="Arial" w:cs="Arial"/>
          <w:b/>
          <w:sz w:val="20"/>
          <w:szCs w:val="20"/>
        </w:rPr>
        <w:t xml:space="preserve">Utilization &amp; Expenditure Weighted Percentage + </w:t>
      </w:r>
      <w:r w:rsidRPr="00A870C4">
        <w:rPr>
          <w:rFonts w:ascii="Arial" w:hAnsi="Arial" w:cs="Arial"/>
          <w:b/>
          <w:sz w:val="20"/>
          <w:szCs w:val="20"/>
        </w:rPr>
        <w:t>Financial Weighted Percentage + HMIS &amp; Data Quality Weighted Percentage</w:t>
      </w:r>
      <w:r w:rsidR="00C45615">
        <w:rPr>
          <w:rFonts w:ascii="Arial" w:hAnsi="Arial" w:cs="Arial"/>
          <w:b/>
          <w:sz w:val="20"/>
          <w:szCs w:val="20"/>
        </w:rPr>
        <w:t xml:space="preserve"> + CoC Participation Weighted Percentage</w:t>
      </w:r>
    </w:p>
    <w:sectPr w:rsidR="00C45615" w:rsidSect="0021077D">
      <w:headerReference w:type="default" r:id="rId11"/>
      <w:foot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BFDA" w14:textId="77777777" w:rsidR="00D62A69" w:rsidRDefault="00D62A69" w:rsidP="009B1AF3">
      <w:pPr>
        <w:spacing w:after="0" w:line="240" w:lineRule="auto"/>
      </w:pPr>
      <w:r>
        <w:separator/>
      </w:r>
    </w:p>
  </w:endnote>
  <w:endnote w:type="continuationSeparator" w:id="0">
    <w:p w14:paraId="09A2D07E" w14:textId="77777777" w:rsidR="00D62A69" w:rsidRDefault="00D62A69" w:rsidP="009B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74D0" w14:textId="484D205C" w:rsidR="00321FE7" w:rsidRDefault="00321FE7" w:rsidP="00652CBD">
    <w:pPr>
      <w:pStyle w:val="Footer"/>
    </w:pPr>
    <w:r>
      <w:t>Revised 7/</w:t>
    </w:r>
    <w:r w:rsidR="007D2426">
      <w:t>10</w:t>
    </w:r>
    <w:r>
      <w:t xml:space="preserve">/17                                                          </w:t>
    </w:r>
    <w:r>
      <w:tab/>
    </w:r>
    <w:r>
      <w:tab/>
      <w:t xml:space="preserve">               </w:t>
    </w:r>
    <w:sdt>
      <w:sdtPr>
        <w:id w:val="1615406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3614">
          <w:rPr>
            <w:noProof/>
          </w:rPr>
          <w:t>4</w:t>
        </w:r>
        <w:r>
          <w:rPr>
            <w:noProof/>
          </w:rPr>
          <w:fldChar w:fldCharType="end"/>
        </w:r>
      </w:sdtContent>
    </w:sdt>
  </w:p>
  <w:p w14:paraId="7C23EC74" w14:textId="77777777" w:rsidR="00321FE7" w:rsidRDefault="00321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6796" w14:textId="77777777" w:rsidR="00D62A69" w:rsidRDefault="00D62A69" w:rsidP="009B1AF3">
      <w:pPr>
        <w:spacing w:after="0" w:line="240" w:lineRule="auto"/>
      </w:pPr>
      <w:r>
        <w:separator/>
      </w:r>
    </w:p>
  </w:footnote>
  <w:footnote w:type="continuationSeparator" w:id="0">
    <w:p w14:paraId="73D4DAAC" w14:textId="77777777" w:rsidR="00D62A69" w:rsidRDefault="00D62A69" w:rsidP="009B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8CAF" w14:textId="67DE511C" w:rsidR="00321FE7" w:rsidRPr="001028BC" w:rsidRDefault="00321FE7" w:rsidP="009B1AF3">
    <w:pPr>
      <w:pStyle w:val="Header"/>
      <w:rPr>
        <w:sz w:val="18"/>
      </w:rPr>
    </w:pPr>
    <w:r w:rsidRPr="001028BC">
      <w:rPr>
        <w:rFonts w:ascii="Arial"/>
        <w:b/>
        <w:sz w:val="24"/>
      </w:rPr>
      <w:t>Renewal Project Scorecard Guide</w:t>
    </w:r>
    <w:r w:rsidRPr="001028BC">
      <w:rPr>
        <w:rFonts w:ascii="Arial"/>
        <w:b/>
        <w:sz w:val="24"/>
      </w:rPr>
      <w:tab/>
    </w:r>
    <w:r w:rsidRPr="001028BC">
      <w:rPr>
        <w:rFonts w:ascii="Arial"/>
        <w:b/>
        <w:sz w:val="24"/>
      </w:rPr>
      <w:tab/>
      <w:t>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AF0"/>
    <w:multiLevelType w:val="hybridMultilevel"/>
    <w:tmpl w:val="A3102382"/>
    <w:lvl w:ilvl="0" w:tplc="EE606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579B7"/>
    <w:multiLevelType w:val="hybridMultilevel"/>
    <w:tmpl w:val="27987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5398"/>
    <w:multiLevelType w:val="hybridMultilevel"/>
    <w:tmpl w:val="1F28C100"/>
    <w:lvl w:ilvl="0" w:tplc="056AE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84481"/>
    <w:multiLevelType w:val="hybridMultilevel"/>
    <w:tmpl w:val="EBEC628E"/>
    <w:lvl w:ilvl="0" w:tplc="37F2B0D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470F0"/>
    <w:multiLevelType w:val="hybridMultilevel"/>
    <w:tmpl w:val="C0E00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B6FD2"/>
    <w:multiLevelType w:val="hybridMultilevel"/>
    <w:tmpl w:val="0EE0F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2705A"/>
    <w:multiLevelType w:val="hybridMultilevel"/>
    <w:tmpl w:val="EAD23DD4"/>
    <w:lvl w:ilvl="0" w:tplc="200852CC">
      <w:start w:val="1"/>
      <w:numFmt w:val="lowerLetter"/>
      <w:lvlText w:val="%1)"/>
      <w:lvlJc w:val="left"/>
      <w:pPr>
        <w:ind w:left="720" w:hanging="360"/>
      </w:pPr>
      <w:rPr>
        <w:b/>
      </w:rPr>
    </w:lvl>
    <w:lvl w:ilvl="1" w:tplc="75FCE2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C7706"/>
    <w:multiLevelType w:val="multilevel"/>
    <w:tmpl w:val="2434349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2E049D"/>
    <w:multiLevelType w:val="hybridMultilevel"/>
    <w:tmpl w:val="95FA1238"/>
    <w:lvl w:ilvl="0" w:tplc="04090017">
      <w:start w:val="1"/>
      <w:numFmt w:val="lowerLetter"/>
      <w:lvlText w:val="%1)"/>
      <w:lvlJc w:val="left"/>
      <w:pPr>
        <w:ind w:left="720" w:hanging="360"/>
      </w:pPr>
      <w:rPr>
        <w:rFonts w:hint="default"/>
        <w:b/>
      </w:rPr>
    </w:lvl>
    <w:lvl w:ilvl="1" w:tplc="DD86D9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26B99"/>
    <w:multiLevelType w:val="hybridMultilevel"/>
    <w:tmpl w:val="492C9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D395C"/>
    <w:multiLevelType w:val="hybridMultilevel"/>
    <w:tmpl w:val="6E3424CE"/>
    <w:lvl w:ilvl="0" w:tplc="5948B6C6">
      <w:start w:val="1"/>
      <w:numFmt w:val="lowerLetter"/>
      <w:lvlText w:val="%1)"/>
      <w:lvlJc w:val="left"/>
      <w:pPr>
        <w:ind w:left="720" w:hanging="360"/>
      </w:pPr>
      <w:rPr>
        <w:rFonts w:hint="default"/>
        <w:b/>
      </w:rPr>
    </w:lvl>
    <w:lvl w:ilvl="1" w:tplc="4E5A31D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91F93"/>
    <w:multiLevelType w:val="hybridMultilevel"/>
    <w:tmpl w:val="F5544D0E"/>
    <w:lvl w:ilvl="0" w:tplc="7DA81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B637BD"/>
    <w:multiLevelType w:val="hybridMultilevel"/>
    <w:tmpl w:val="279E1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45F91"/>
    <w:multiLevelType w:val="hybridMultilevel"/>
    <w:tmpl w:val="F57AE12C"/>
    <w:lvl w:ilvl="0" w:tplc="03B45964">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55E61"/>
    <w:multiLevelType w:val="hybridMultilevel"/>
    <w:tmpl w:val="44DAD354"/>
    <w:lvl w:ilvl="0" w:tplc="5114EE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B4516"/>
    <w:multiLevelType w:val="hybridMultilevel"/>
    <w:tmpl w:val="705E2698"/>
    <w:lvl w:ilvl="0" w:tplc="FA94AA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77BA1"/>
    <w:multiLevelType w:val="hybridMultilevel"/>
    <w:tmpl w:val="8690D5B6"/>
    <w:lvl w:ilvl="0" w:tplc="8C08B7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D0A6A"/>
    <w:multiLevelType w:val="hybridMultilevel"/>
    <w:tmpl w:val="E190EFA2"/>
    <w:lvl w:ilvl="0" w:tplc="D1B23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AC713C"/>
    <w:multiLevelType w:val="hybridMultilevel"/>
    <w:tmpl w:val="475AD098"/>
    <w:lvl w:ilvl="0" w:tplc="2ECEF4FA">
      <w:start w:val="1"/>
      <w:numFmt w:val="lowerLetter"/>
      <w:lvlText w:val="%1)"/>
      <w:lvlJc w:val="left"/>
      <w:pPr>
        <w:ind w:left="720" w:hanging="360"/>
      </w:pPr>
      <w:rPr>
        <w:rFonts w:hint="default"/>
        <w:color w:val="auto"/>
      </w:rPr>
    </w:lvl>
    <w:lvl w:ilvl="1" w:tplc="014AC91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C313C"/>
    <w:multiLevelType w:val="hybridMultilevel"/>
    <w:tmpl w:val="AA4475E4"/>
    <w:lvl w:ilvl="0" w:tplc="20C80C60">
      <w:start w:val="1"/>
      <w:numFmt w:val="lowerLetter"/>
      <w:lvlText w:val="%1)"/>
      <w:lvlJc w:val="left"/>
      <w:pPr>
        <w:ind w:left="720" w:hanging="360"/>
      </w:pPr>
      <w:rPr>
        <w:rFonts w:hint="default"/>
        <w:b/>
        <w:color w:val="auto"/>
      </w:rPr>
    </w:lvl>
    <w:lvl w:ilvl="1" w:tplc="A34283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9334B"/>
    <w:multiLevelType w:val="hybridMultilevel"/>
    <w:tmpl w:val="6756B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9"/>
  </w:num>
  <w:num w:numId="5">
    <w:abstractNumId w:val="8"/>
  </w:num>
  <w:num w:numId="6">
    <w:abstractNumId w:val="18"/>
  </w:num>
  <w:num w:numId="7">
    <w:abstractNumId w:val="14"/>
  </w:num>
  <w:num w:numId="8">
    <w:abstractNumId w:val="3"/>
  </w:num>
  <w:num w:numId="9">
    <w:abstractNumId w:val="1"/>
  </w:num>
  <w:num w:numId="10">
    <w:abstractNumId w:val="13"/>
  </w:num>
  <w:num w:numId="11">
    <w:abstractNumId w:val="10"/>
  </w:num>
  <w:num w:numId="12">
    <w:abstractNumId w:val="5"/>
  </w:num>
  <w:num w:numId="13">
    <w:abstractNumId w:val="9"/>
  </w:num>
  <w:num w:numId="14">
    <w:abstractNumId w:val="12"/>
  </w:num>
  <w:num w:numId="15">
    <w:abstractNumId w:val="4"/>
  </w:num>
  <w:num w:numId="16">
    <w:abstractNumId w:val="16"/>
  </w:num>
  <w:num w:numId="17">
    <w:abstractNumId w:val="20"/>
  </w:num>
  <w:num w:numId="18">
    <w:abstractNumId w:val="2"/>
  </w:num>
  <w:num w:numId="19">
    <w:abstractNumId w:val="17"/>
  </w:num>
  <w:num w:numId="20">
    <w:abstractNumId w:val="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EB"/>
    <w:rsid w:val="00000AF6"/>
    <w:rsid w:val="00014037"/>
    <w:rsid w:val="0003092F"/>
    <w:rsid w:val="00031C1B"/>
    <w:rsid w:val="00050F95"/>
    <w:rsid w:val="00055A77"/>
    <w:rsid w:val="00056667"/>
    <w:rsid w:val="0006731E"/>
    <w:rsid w:val="00070875"/>
    <w:rsid w:val="0007199D"/>
    <w:rsid w:val="00072E17"/>
    <w:rsid w:val="000765E2"/>
    <w:rsid w:val="00085A7A"/>
    <w:rsid w:val="00097BD6"/>
    <w:rsid w:val="000B16DD"/>
    <w:rsid w:val="000B4496"/>
    <w:rsid w:val="000B5CFA"/>
    <w:rsid w:val="000B5DED"/>
    <w:rsid w:val="000B7E34"/>
    <w:rsid w:val="000D21F6"/>
    <w:rsid w:val="000E0F0E"/>
    <w:rsid w:val="000F049F"/>
    <w:rsid w:val="001005E0"/>
    <w:rsid w:val="001028BC"/>
    <w:rsid w:val="00114BBA"/>
    <w:rsid w:val="00131967"/>
    <w:rsid w:val="001659DF"/>
    <w:rsid w:val="00167781"/>
    <w:rsid w:val="0017709F"/>
    <w:rsid w:val="001822AC"/>
    <w:rsid w:val="001870F8"/>
    <w:rsid w:val="00191C7A"/>
    <w:rsid w:val="001A13FF"/>
    <w:rsid w:val="001A3755"/>
    <w:rsid w:val="001B60B9"/>
    <w:rsid w:val="001D2D98"/>
    <w:rsid w:val="001E7639"/>
    <w:rsid w:val="001F44AF"/>
    <w:rsid w:val="001F7F27"/>
    <w:rsid w:val="00200B43"/>
    <w:rsid w:val="00205657"/>
    <w:rsid w:val="002104A4"/>
    <w:rsid w:val="0021077D"/>
    <w:rsid w:val="002131E7"/>
    <w:rsid w:val="00214438"/>
    <w:rsid w:val="00233C06"/>
    <w:rsid w:val="002350E3"/>
    <w:rsid w:val="00242107"/>
    <w:rsid w:val="00243A8B"/>
    <w:rsid w:val="00243C7B"/>
    <w:rsid w:val="002575DF"/>
    <w:rsid w:val="00263022"/>
    <w:rsid w:val="00263974"/>
    <w:rsid w:val="00263A0A"/>
    <w:rsid w:val="00273268"/>
    <w:rsid w:val="00274F59"/>
    <w:rsid w:val="0027657B"/>
    <w:rsid w:val="00277679"/>
    <w:rsid w:val="00281FA4"/>
    <w:rsid w:val="00283D13"/>
    <w:rsid w:val="002877BE"/>
    <w:rsid w:val="002900DB"/>
    <w:rsid w:val="0029442A"/>
    <w:rsid w:val="002A0033"/>
    <w:rsid w:val="002C15E7"/>
    <w:rsid w:val="002D0006"/>
    <w:rsid w:val="002D0B44"/>
    <w:rsid w:val="002D179B"/>
    <w:rsid w:val="002D34EB"/>
    <w:rsid w:val="002E1D7F"/>
    <w:rsid w:val="00304AC8"/>
    <w:rsid w:val="00321FE7"/>
    <w:rsid w:val="00323006"/>
    <w:rsid w:val="003655F8"/>
    <w:rsid w:val="0037176F"/>
    <w:rsid w:val="003775FF"/>
    <w:rsid w:val="00381DA7"/>
    <w:rsid w:val="00383035"/>
    <w:rsid w:val="00387576"/>
    <w:rsid w:val="00392BA9"/>
    <w:rsid w:val="00393C86"/>
    <w:rsid w:val="00394857"/>
    <w:rsid w:val="003A0315"/>
    <w:rsid w:val="003C7971"/>
    <w:rsid w:val="003D3840"/>
    <w:rsid w:val="003D5B2B"/>
    <w:rsid w:val="003D5B62"/>
    <w:rsid w:val="003E057C"/>
    <w:rsid w:val="003E4BB9"/>
    <w:rsid w:val="004036D8"/>
    <w:rsid w:val="004102AD"/>
    <w:rsid w:val="004226C6"/>
    <w:rsid w:val="00432D3B"/>
    <w:rsid w:val="00444AC2"/>
    <w:rsid w:val="00456E8E"/>
    <w:rsid w:val="00475A6E"/>
    <w:rsid w:val="00483F2E"/>
    <w:rsid w:val="0048783A"/>
    <w:rsid w:val="00492CFD"/>
    <w:rsid w:val="004A0FF9"/>
    <w:rsid w:val="004A7580"/>
    <w:rsid w:val="004B3822"/>
    <w:rsid w:val="004C26C1"/>
    <w:rsid w:val="004D2718"/>
    <w:rsid w:val="004D7A66"/>
    <w:rsid w:val="004E0F61"/>
    <w:rsid w:val="004F07A9"/>
    <w:rsid w:val="004F6E8B"/>
    <w:rsid w:val="00545A47"/>
    <w:rsid w:val="00552755"/>
    <w:rsid w:val="00552836"/>
    <w:rsid w:val="0056004C"/>
    <w:rsid w:val="0056309F"/>
    <w:rsid w:val="0058242B"/>
    <w:rsid w:val="00585532"/>
    <w:rsid w:val="00585AE4"/>
    <w:rsid w:val="00597A08"/>
    <w:rsid w:val="005B1363"/>
    <w:rsid w:val="005D157D"/>
    <w:rsid w:val="005D28D9"/>
    <w:rsid w:val="005E10DF"/>
    <w:rsid w:val="005E19D2"/>
    <w:rsid w:val="005E38D8"/>
    <w:rsid w:val="00602B82"/>
    <w:rsid w:val="006052DA"/>
    <w:rsid w:val="006067FF"/>
    <w:rsid w:val="006166B7"/>
    <w:rsid w:val="00620F92"/>
    <w:rsid w:val="00624C93"/>
    <w:rsid w:val="0062741B"/>
    <w:rsid w:val="00632257"/>
    <w:rsid w:val="00651283"/>
    <w:rsid w:val="00652CBD"/>
    <w:rsid w:val="00657EC3"/>
    <w:rsid w:val="006649E8"/>
    <w:rsid w:val="00670BF0"/>
    <w:rsid w:val="00692AFA"/>
    <w:rsid w:val="006938B0"/>
    <w:rsid w:val="006956A3"/>
    <w:rsid w:val="006A3E5A"/>
    <w:rsid w:val="006A42E3"/>
    <w:rsid w:val="006B23B2"/>
    <w:rsid w:val="006C6158"/>
    <w:rsid w:val="006C6A07"/>
    <w:rsid w:val="006E20C1"/>
    <w:rsid w:val="006F00CE"/>
    <w:rsid w:val="007052CA"/>
    <w:rsid w:val="00706384"/>
    <w:rsid w:val="00720572"/>
    <w:rsid w:val="007304C9"/>
    <w:rsid w:val="00741D13"/>
    <w:rsid w:val="00753C66"/>
    <w:rsid w:val="00756F4A"/>
    <w:rsid w:val="00771AC0"/>
    <w:rsid w:val="00792376"/>
    <w:rsid w:val="00796B89"/>
    <w:rsid w:val="007A5B56"/>
    <w:rsid w:val="007A7F71"/>
    <w:rsid w:val="007B5669"/>
    <w:rsid w:val="007C55C4"/>
    <w:rsid w:val="007D2426"/>
    <w:rsid w:val="007D44F2"/>
    <w:rsid w:val="007F2256"/>
    <w:rsid w:val="007F7641"/>
    <w:rsid w:val="008147DF"/>
    <w:rsid w:val="008236F9"/>
    <w:rsid w:val="00825E93"/>
    <w:rsid w:val="00832220"/>
    <w:rsid w:val="00834787"/>
    <w:rsid w:val="008371A3"/>
    <w:rsid w:val="00870F7A"/>
    <w:rsid w:val="00874EDB"/>
    <w:rsid w:val="00890623"/>
    <w:rsid w:val="00890BDE"/>
    <w:rsid w:val="00890FEE"/>
    <w:rsid w:val="008B5EB4"/>
    <w:rsid w:val="008C25E0"/>
    <w:rsid w:val="008C7B6D"/>
    <w:rsid w:val="008F1091"/>
    <w:rsid w:val="00911052"/>
    <w:rsid w:val="00913DD0"/>
    <w:rsid w:val="0092728E"/>
    <w:rsid w:val="00940E77"/>
    <w:rsid w:val="009659A1"/>
    <w:rsid w:val="0097585E"/>
    <w:rsid w:val="00977A6B"/>
    <w:rsid w:val="009837DC"/>
    <w:rsid w:val="00995C4B"/>
    <w:rsid w:val="009B10CA"/>
    <w:rsid w:val="009B1AF3"/>
    <w:rsid w:val="009B6034"/>
    <w:rsid w:val="009C1216"/>
    <w:rsid w:val="009C4B94"/>
    <w:rsid w:val="009D240D"/>
    <w:rsid w:val="009E66ED"/>
    <w:rsid w:val="009F6A9D"/>
    <w:rsid w:val="00A0417B"/>
    <w:rsid w:val="00A041B0"/>
    <w:rsid w:val="00A21A92"/>
    <w:rsid w:val="00A242A7"/>
    <w:rsid w:val="00A26B6F"/>
    <w:rsid w:val="00A27B2A"/>
    <w:rsid w:val="00A3692A"/>
    <w:rsid w:val="00A42288"/>
    <w:rsid w:val="00A4320A"/>
    <w:rsid w:val="00A44443"/>
    <w:rsid w:val="00A51208"/>
    <w:rsid w:val="00A546A4"/>
    <w:rsid w:val="00A66CEC"/>
    <w:rsid w:val="00A85A49"/>
    <w:rsid w:val="00A870C4"/>
    <w:rsid w:val="00A922E0"/>
    <w:rsid w:val="00AA0D87"/>
    <w:rsid w:val="00AA2BB8"/>
    <w:rsid w:val="00AB3207"/>
    <w:rsid w:val="00AC3FC8"/>
    <w:rsid w:val="00AD3056"/>
    <w:rsid w:val="00AE1B00"/>
    <w:rsid w:val="00AE2D84"/>
    <w:rsid w:val="00AE5A35"/>
    <w:rsid w:val="00AE5EDC"/>
    <w:rsid w:val="00AF13C6"/>
    <w:rsid w:val="00AF7A49"/>
    <w:rsid w:val="00B063EC"/>
    <w:rsid w:val="00B1005D"/>
    <w:rsid w:val="00B101A5"/>
    <w:rsid w:val="00B153C1"/>
    <w:rsid w:val="00B22778"/>
    <w:rsid w:val="00B2538D"/>
    <w:rsid w:val="00B26892"/>
    <w:rsid w:val="00B36AC9"/>
    <w:rsid w:val="00B510CB"/>
    <w:rsid w:val="00B542E2"/>
    <w:rsid w:val="00B76D0C"/>
    <w:rsid w:val="00B800AE"/>
    <w:rsid w:val="00B85304"/>
    <w:rsid w:val="00B9490B"/>
    <w:rsid w:val="00B9662E"/>
    <w:rsid w:val="00BA6104"/>
    <w:rsid w:val="00BB268E"/>
    <w:rsid w:val="00BB4237"/>
    <w:rsid w:val="00BB4C55"/>
    <w:rsid w:val="00BC5A77"/>
    <w:rsid w:val="00BC765B"/>
    <w:rsid w:val="00BD66EB"/>
    <w:rsid w:val="00BE629B"/>
    <w:rsid w:val="00BE6621"/>
    <w:rsid w:val="00BF232E"/>
    <w:rsid w:val="00C123D2"/>
    <w:rsid w:val="00C256B7"/>
    <w:rsid w:val="00C272DD"/>
    <w:rsid w:val="00C27EB1"/>
    <w:rsid w:val="00C311F2"/>
    <w:rsid w:val="00C342D0"/>
    <w:rsid w:val="00C34BD3"/>
    <w:rsid w:val="00C433D4"/>
    <w:rsid w:val="00C43614"/>
    <w:rsid w:val="00C45615"/>
    <w:rsid w:val="00C554E8"/>
    <w:rsid w:val="00C708D4"/>
    <w:rsid w:val="00C73281"/>
    <w:rsid w:val="00C974CF"/>
    <w:rsid w:val="00CB036B"/>
    <w:rsid w:val="00CB0385"/>
    <w:rsid w:val="00CB17C2"/>
    <w:rsid w:val="00CB7079"/>
    <w:rsid w:val="00CC2EF8"/>
    <w:rsid w:val="00CD6198"/>
    <w:rsid w:val="00CE07A9"/>
    <w:rsid w:val="00CE1CB0"/>
    <w:rsid w:val="00CE4828"/>
    <w:rsid w:val="00CF2CE6"/>
    <w:rsid w:val="00CF64BA"/>
    <w:rsid w:val="00CF7698"/>
    <w:rsid w:val="00D260AF"/>
    <w:rsid w:val="00D26642"/>
    <w:rsid w:val="00D30E29"/>
    <w:rsid w:val="00D37165"/>
    <w:rsid w:val="00D52F5D"/>
    <w:rsid w:val="00D570A3"/>
    <w:rsid w:val="00D5730E"/>
    <w:rsid w:val="00D62A69"/>
    <w:rsid w:val="00D6497C"/>
    <w:rsid w:val="00D67237"/>
    <w:rsid w:val="00D76221"/>
    <w:rsid w:val="00D83CCD"/>
    <w:rsid w:val="00D849F6"/>
    <w:rsid w:val="00D86F66"/>
    <w:rsid w:val="00D96BF4"/>
    <w:rsid w:val="00DA2F5B"/>
    <w:rsid w:val="00DA30CF"/>
    <w:rsid w:val="00DA458A"/>
    <w:rsid w:val="00DD245A"/>
    <w:rsid w:val="00DF3EA0"/>
    <w:rsid w:val="00DF6DCF"/>
    <w:rsid w:val="00E26D8B"/>
    <w:rsid w:val="00E318DF"/>
    <w:rsid w:val="00E32AEF"/>
    <w:rsid w:val="00E40761"/>
    <w:rsid w:val="00E56FF0"/>
    <w:rsid w:val="00E6202A"/>
    <w:rsid w:val="00E62E95"/>
    <w:rsid w:val="00E646AF"/>
    <w:rsid w:val="00E65083"/>
    <w:rsid w:val="00E67819"/>
    <w:rsid w:val="00E71050"/>
    <w:rsid w:val="00E72D96"/>
    <w:rsid w:val="00E756F4"/>
    <w:rsid w:val="00E77AEC"/>
    <w:rsid w:val="00E83DC5"/>
    <w:rsid w:val="00E8501C"/>
    <w:rsid w:val="00E96E74"/>
    <w:rsid w:val="00EA043F"/>
    <w:rsid w:val="00EA169B"/>
    <w:rsid w:val="00EA5E78"/>
    <w:rsid w:val="00EA6E9F"/>
    <w:rsid w:val="00EB1496"/>
    <w:rsid w:val="00EB4BF8"/>
    <w:rsid w:val="00EB5F5A"/>
    <w:rsid w:val="00ED4B1D"/>
    <w:rsid w:val="00EE1919"/>
    <w:rsid w:val="00EF3B05"/>
    <w:rsid w:val="00F05EA6"/>
    <w:rsid w:val="00F061B6"/>
    <w:rsid w:val="00F172DD"/>
    <w:rsid w:val="00F2200B"/>
    <w:rsid w:val="00F24576"/>
    <w:rsid w:val="00F36488"/>
    <w:rsid w:val="00F4463F"/>
    <w:rsid w:val="00F44ADF"/>
    <w:rsid w:val="00F50A1D"/>
    <w:rsid w:val="00F57B1F"/>
    <w:rsid w:val="00F61C62"/>
    <w:rsid w:val="00F672C6"/>
    <w:rsid w:val="00F67A5E"/>
    <w:rsid w:val="00F8325C"/>
    <w:rsid w:val="00FB2322"/>
    <w:rsid w:val="00FC347A"/>
    <w:rsid w:val="00FD6A82"/>
    <w:rsid w:val="00FF09F0"/>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0CAA2"/>
  <w15:docId w15:val="{630C02AD-F263-40AD-B192-F6F14720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7A"/>
    <w:pPr>
      <w:ind w:left="720"/>
      <w:contextualSpacing/>
    </w:pPr>
  </w:style>
  <w:style w:type="paragraph" w:styleId="BalloonText">
    <w:name w:val="Balloon Text"/>
    <w:basedOn w:val="Normal"/>
    <w:link w:val="BalloonTextChar"/>
    <w:uiPriority w:val="99"/>
    <w:semiHidden/>
    <w:unhideWhenUsed/>
    <w:rsid w:val="00BC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5B"/>
    <w:rPr>
      <w:rFonts w:ascii="Segoe UI" w:hAnsi="Segoe UI" w:cs="Segoe UI"/>
      <w:sz w:val="18"/>
      <w:szCs w:val="18"/>
    </w:rPr>
  </w:style>
  <w:style w:type="paragraph" w:styleId="Header">
    <w:name w:val="header"/>
    <w:basedOn w:val="Normal"/>
    <w:link w:val="HeaderChar"/>
    <w:uiPriority w:val="99"/>
    <w:unhideWhenUsed/>
    <w:rsid w:val="009B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F3"/>
  </w:style>
  <w:style w:type="paragraph" w:styleId="Footer">
    <w:name w:val="footer"/>
    <w:basedOn w:val="Normal"/>
    <w:link w:val="FooterChar"/>
    <w:uiPriority w:val="99"/>
    <w:unhideWhenUsed/>
    <w:rsid w:val="009B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1E0E6B1E543A44B9F9C3D1E9685659" ma:contentTypeVersion="4" ma:contentTypeDescription="Create a new document." ma:contentTypeScope="" ma:versionID="477fdaf53d12dc3a4a0b0ba735025cc4">
  <xsd:schema xmlns:xsd="http://www.w3.org/2001/XMLSchema" xmlns:xs="http://www.w3.org/2001/XMLSchema" xmlns:p="http://schemas.microsoft.com/office/2006/metadata/properties" xmlns:ns2="ed5da780-5eed-4971-ad57-ffb54ac6634b" xmlns:ns3="03c16268-7e27-48f4-af6b-aecaab6cabc2" targetNamespace="http://schemas.microsoft.com/office/2006/metadata/properties" ma:root="true" ma:fieldsID="1226954b00b3333cf2b2aeaae78db6b0" ns2:_="" ns3:_="">
    <xsd:import namespace="ed5da780-5eed-4971-ad57-ffb54ac6634b"/>
    <xsd:import namespace="03c16268-7e27-48f4-af6b-aecaab6cab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16268-7e27-48f4-af6b-aecaab6cab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A1DED-456E-4B9C-8890-DDB2E5E0F6A6}">
  <ds:schemaRefs>
    <ds:schemaRef ds:uri="http://schemas.microsoft.com/sharepoint/v3/contenttype/forms"/>
  </ds:schemaRefs>
</ds:datastoreItem>
</file>

<file path=customXml/itemProps2.xml><?xml version="1.0" encoding="utf-8"?>
<ds:datastoreItem xmlns:ds="http://schemas.openxmlformats.org/officeDocument/2006/customXml" ds:itemID="{8835C63D-64E9-42FD-AB46-CC7C92FA9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3c16268-7e27-48f4-af6b-aecaab6c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9917C-E7E7-46C5-A7BC-BC2D750D2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006D44-9C5F-42EE-BCE7-60A645CF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Lauren Helms</cp:lastModifiedBy>
  <cp:revision>7</cp:revision>
  <cp:lastPrinted>2017-07-27T13:45:00Z</cp:lastPrinted>
  <dcterms:created xsi:type="dcterms:W3CDTF">2017-07-27T13:45:00Z</dcterms:created>
  <dcterms:modified xsi:type="dcterms:W3CDTF">2017-08-02T21:03:00Z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0x010100B61E0E6B1E543A44B9F9C3D1E9685659</vt:lpwstr>
  </property>
</Properties>
</file>