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EE8A" w14:textId="77777777" w:rsidR="00721E77" w:rsidRDefault="00D97138" w:rsidP="00AC634A">
      <w:pPr>
        <w:spacing w:after="0" w:line="240" w:lineRule="auto"/>
        <w:jc w:val="center"/>
        <w:rPr>
          <w:b/>
          <w:sz w:val="28"/>
          <w:szCs w:val="28"/>
        </w:rPr>
      </w:pPr>
      <w:r w:rsidRPr="00D97138">
        <w:rPr>
          <w:noProof/>
        </w:rPr>
        <w:drawing>
          <wp:inline distT="0" distB="0" distL="0" distR="0" wp14:anchorId="637AC361" wp14:editId="77A63C3F">
            <wp:extent cx="1570679"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HC_LOGO_BW.gif"/>
                    <pic:cNvPicPr/>
                  </pic:nvPicPr>
                  <pic:blipFill>
                    <a:blip r:embed="rId7">
                      <a:extLst>
                        <a:ext uri="{28A0092B-C50C-407E-A947-70E740481C1C}">
                          <a14:useLocalDpi xmlns:a14="http://schemas.microsoft.com/office/drawing/2010/main" val="0"/>
                        </a:ext>
                      </a:extLst>
                    </a:blip>
                    <a:stretch>
                      <a:fillRect/>
                    </a:stretch>
                  </pic:blipFill>
                  <pic:spPr>
                    <a:xfrm>
                      <a:off x="0" y="0"/>
                      <a:ext cx="1578657" cy="794590"/>
                    </a:xfrm>
                    <a:prstGeom prst="rect">
                      <a:avLst/>
                    </a:prstGeom>
                  </pic:spPr>
                </pic:pic>
              </a:graphicData>
            </a:graphic>
          </wp:inline>
        </w:drawing>
      </w:r>
      <w:r>
        <w:rPr>
          <w:b/>
          <w:u w:val="single"/>
        </w:rPr>
        <w:br/>
      </w:r>
    </w:p>
    <w:p w14:paraId="02DDFE20" w14:textId="77777777" w:rsidR="00B9462A" w:rsidRDefault="00721E77" w:rsidP="00AC634A">
      <w:pPr>
        <w:spacing w:after="0" w:line="240" w:lineRule="auto"/>
        <w:jc w:val="center"/>
        <w:rPr>
          <w:b/>
          <w:sz w:val="28"/>
          <w:szCs w:val="28"/>
        </w:rPr>
      </w:pPr>
      <w:r>
        <w:rPr>
          <w:b/>
          <w:sz w:val="28"/>
          <w:szCs w:val="28"/>
        </w:rPr>
        <w:t>Community Progress on Ending Homelessness</w:t>
      </w:r>
    </w:p>
    <w:p w14:paraId="196ACADF" w14:textId="77777777" w:rsidR="00AC634A" w:rsidRDefault="00721E77" w:rsidP="0089567A">
      <w:pPr>
        <w:spacing w:after="0" w:line="240" w:lineRule="auto"/>
        <w:jc w:val="center"/>
        <w:rPr>
          <w:b/>
          <w:sz w:val="28"/>
          <w:szCs w:val="28"/>
        </w:rPr>
      </w:pPr>
      <w:r>
        <w:rPr>
          <w:b/>
          <w:sz w:val="28"/>
          <w:szCs w:val="28"/>
        </w:rPr>
        <w:t>August 2014</w:t>
      </w:r>
    </w:p>
    <w:p w14:paraId="30F59E2A" w14:textId="77777777" w:rsidR="00537295" w:rsidRDefault="00537295" w:rsidP="00721E77">
      <w:pPr>
        <w:spacing w:after="0" w:line="240" w:lineRule="auto"/>
        <w:rPr>
          <w:b/>
          <w:sz w:val="24"/>
        </w:rPr>
      </w:pPr>
    </w:p>
    <w:p w14:paraId="59C170DF" w14:textId="7512BE73" w:rsidR="009B4F29" w:rsidRDefault="009B4F29" w:rsidP="00B9462A">
      <w:pPr>
        <w:spacing w:after="0" w:line="240" w:lineRule="auto"/>
        <w:rPr>
          <w:b/>
          <w:sz w:val="24"/>
        </w:rPr>
      </w:pPr>
    </w:p>
    <w:p w14:paraId="6D13FD04" w14:textId="4CDE6D68" w:rsidR="00753BB9" w:rsidRDefault="00753BB9" w:rsidP="00B9462A">
      <w:pPr>
        <w:spacing w:after="0" w:line="240" w:lineRule="auto"/>
        <w:rPr>
          <w:b/>
          <w:sz w:val="24"/>
          <w:szCs w:val="24"/>
        </w:rPr>
      </w:pPr>
      <w:r w:rsidRPr="00154418">
        <w:rPr>
          <w:b/>
          <w:sz w:val="24"/>
        </w:rPr>
        <w:t>Occupancy Rates</w:t>
      </w:r>
      <w:r w:rsidR="005001F2">
        <w:rPr>
          <w:b/>
          <w:sz w:val="24"/>
        </w:rPr>
        <w:t xml:space="preserve"> </w:t>
      </w:r>
      <w:r w:rsidR="005001F2">
        <w:rPr>
          <w:b/>
          <w:sz w:val="24"/>
          <w:szCs w:val="24"/>
        </w:rPr>
        <w:t xml:space="preserve">- Includes all </w:t>
      </w:r>
      <w:r w:rsidR="000C4744">
        <w:rPr>
          <w:b/>
          <w:sz w:val="24"/>
          <w:szCs w:val="24"/>
        </w:rPr>
        <w:t xml:space="preserve">local </w:t>
      </w:r>
      <w:r w:rsidR="005001F2">
        <w:rPr>
          <w:b/>
          <w:sz w:val="24"/>
          <w:szCs w:val="24"/>
        </w:rPr>
        <w:t>homeless service providers</w:t>
      </w:r>
    </w:p>
    <w:p w14:paraId="32DE72C6" w14:textId="77777777" w:rsidR="00CA7391" w:rsidRDefault="00CA7391" w:rsidP="00B9462A">
      <w:pPr>
        <w:spacing w:after="0" w:line="240" w:lineRule="auto"/>
        <w:rPr>
          <w:b/>
          <w:sz w:val="24"/>
          <w:szCs w:val="24"/>
        </w:rPr>
      </w:pPr>
      <w:r>
        <w:rPr>
          <w:b/>
          <w:sz w:val="24"/>
          <w:szCs w:val="24"/>
        </w:rPr>
        <w:t>Benchmark Data: January 23, 2014 Annual Point in Time Count</w:t>
      </w:r>
      <w:r w:rsidR="00F45364">
        <w:rPr>
          <w:b/>
          <w:sz w:val="24"/>
          <w:szCs w:val="24"/>
        </w:rPr>
        <w:t xml:space="preserve"> (Jan PIT Data)</w:t>
      </w:r>
      <w:r>
        <w:rPr>
          <w:b/>
          <w:sz w:val="24"/>
          <w:szCs w:val="24"/>
        </w:rPr>
        <w:t xml:space="preserve"> </w:t>
      </w:r>
    </w:p>
    <w:p w14:paraId="1AE5D433" w14:textId="77777777" w:rsidR="006A36EE" w:rsidRDefault="006A36EE" w:rsidP="00B9462A">
      <w:pPr>
        <w:spacing w:after="0" w:line="240" w:lineRule="auto"/>
        <w:rPr>
          <w:b/>
          <w:sz w:val="24"/>
          <w:szCs w:val="24"/>
        </w:rPr>
      </w:pPr>
    </w:p>
    <w:p w14:paraId="7E0A59D4" w14:textId="1E085526" w:rsidR="006A36EE" w:rsidRDefault="006A36EE" w:rsidP="00B9462A">
      <w:pPr>
        <w:spacing w:after="0" w:line="240" w:lineRule="auto"/>
        <w:rPr>
          <w:sz w:val="24"/>
          <w:szCs w:val="24"/>
        </w:rPr>
      </w:pPr>
      <w:r w:rsidRPr="006A36EE">
        <w:rPr>
          <w:sz w:val="24"/>
          <w:szCs w:val="24"/>
        </w:rPr>
        <w:t>Occupancy Rates are</w:t>
      </w:r>
      <w:r w:rsidR="000C4744">
        <w:rPr>
          <w:sz w:val="24"/>
          <w:szCs w:val="24"/>
        </w:rPr>
        <w:t xml:space="preserve"> measured to determine how well</w:t>
      </w:r>
      <w:r>
        <w:rPr>
          <w:sz w:val="24"/>
          <w:szCs w:val="24"/>
        </w:rPr>
        <w:t xml:space="preserve"> homeless service providers are utilizing</w:t>
      </w:r>
      <w:r w:rsidRPr="006A36EE">
        <w:rPr>
          <w:sz w:val="24"/>
          <w:szCs w:val="24"/>
        </w:rPr>
        <w:t xml:space="preserve"> available resources in our community.  The Benchmark data is based on the January 23, 2014 Annual Point in Time Count</w:t>
      </w:r>
      <w:r>
        <w:rPr>
          <w:sz w:val="24"/>
          <w:szCs w:val="24"/>
        </w:rPr>
        <w:t xml:space="preserve">.  Current data corresponds with the </w:t>
      </w:r>
      <w:r w:rsidR="00934499">
        <w:rPr>
          <w:sz w:val="24"/>
          <w:szCs w:val="24"/>
        </w:rPr>
        <w:t xml:space="preserve">quarterly </w:t>
      </w:r>
      <w:r>
        <w:rPr>
          <w:sz w:val="24"/>
          <w:szCs w:val="24"/>
        </w:rPr>
        <w:t>Annual Homeless Assessment Report (AHAR)</w:t>
      </w:r>
      <w:r w:rsidR="00E055A1">
        <w:rPr>
          <w:sz w:val="24"/>
          <w:szCs w:val="24"/>
        </w:rPr>
        <w:t xml:space="preserve"> date</w:t>
      </w:r>
      <w:r w:rsidR="000C4744">
        <w:rPr>
          <w:sz w:val="24"/>
          <w:szCs w:val="24"/>
        </w:rPr>
        <w:t>s</w:t>
      </w:r>
      <w:r>
        <w:rPr>
          <w:sz w:val="24"/>
          <w:szCs w:val="24"/>
        </w:rPr>
        <w:t xml:space="preserve">, which occur on the fourth Wednesday </w:t>
      </w:r>
      <w:r w:rsidR="000C4744">
        <w:rPr>
          <w:sz w:val="24"/>
          <w:szCs w:val="24"/>
        </w:rPr>
        <w:t>in</w:t>
      </w:r>
      <w:r>
        <w:rPr>
          <w:sz w:val="24"/>
          <w:szCs w:val="24"/>
        </w:rPr>
        <w:t xml:space="preserve"> Januar</w:t>
      </w:r>
      <w:r w:rsidR="00E055A1">
        <w:rPr>
          <w:sz w:val="24"/>
          <w:szCs w:val="24"/>
        </w:rPr>
        <w:t xml:space="preserve">y, </w:t>
      </w:r>
      <w:r w:rsidR="000C4744">
        <w:rPr>
          <w:sz w:val="24"/>
          <w:szCs w:val="24"/>
        </w:rPr>
        <w:t>April, July &amp; October.  These</w:t>
      </w:r>
      <w:r>
        <w:rPr>
          <w:sz w:val="24"/>
          <w:szCs w:val="24"/>
        </w:rPr>
        <w:t xml:space="preserve"> dates provide us with a quarterly snapshot of individuals utilizing homeless services</w:t>
      </w:r>
      <w:r w:rsidR="00934499">
        <w:rPr>
          <w:sz w:val="24"/>
          <w:szCs w:val="24"/>
        </w:rPr>
        <w:t xml:space="preserve"> </w:t>
      </w:r>
      <w:r w:rsidR="000C4744">
        <w:rPr>
          <w:sz w:val="24"/>
          <w:szCs w:val="24"/>
        </w:rPr>
        <w:t>on</w:t>
      </w:r>
      <w:r w:rsidR="00934499">
        <w:rPr>
          <w:sz w:val="24"/>
          <w:szCs w:val="24"/>
        </w:rPr>
        <w:t xml:space="preserve"> one date</w:t>
      </w:r>
      <w:r>
        <w:rPr>
          <w:sz w:val="24"/>
          <w:szCs w:val="24"/>
        </w:rPr>
        <w:t xml:space="preserve"> in Tarrant County. </w:t>
      </w:r>
      <w:r w:rsidR="00320A50">
        <w:rPr>
          <w:sz w:val="24"/>
          <w:szCs w:val="24"/>
        </w:rPr>
        <w:t xml:space="preserve"> The current measurement is for July 23, 2014.</w:t>
      </w:r>
    </w:p>
    <w:p w14:paraId="08B4F048" w14:textId="77777777" w:rsidR="000C4744" w:rsidRDefault="000C4744" w:rsidP="00B9462A">
      <w:pPr>
        <w:spacing w:after="0" w:line="240" w:lineRule="auto"/>
        <w:rPr>
          <w:sz w:val="24"/>
          <w:szCs w:val="24"/>
        </w:rPr>
      </w:pPr>
    </w:p>
    <w:p w14:paraId="580702E0" w14:textId="40B74E39" w:rsidR="000C4744" w:rsidRDefault="00FD236D" w:rsidP="00B9462A">
      <w:pPr>
        <w:spacing w:after="0" w:line="240" w:lineRule="auto"/>
        <w:rPr>
          <w:i/>
          <w:sz w:val="24"/>
          <w:szCs w:val="24"/>
        </w:rPr>
      </w:pPr>
      <w:r>
        <w:rPr>
          <w:i/>
          <w:sz w:val="24"/>
          <w:szCs w:val="24"/>
        </w:rPr>
        <w:t>*Note: Unsheltered homeless individuals are not included in</w:t>
      </w:r>
      <w:r w:rsidR="000C4744">
        <w:rPr>
          <w:i/>
          <w:sz w:val="24"/>
          <w:szCs w:val="24"/>
        </w:rPr>
        <w:t xml:space="preserve"> the current measurement as the unsheltered</w:t>
      </w:r>
      <w:r>
        <w:rPr>
          <w:i/>
          <w:sz w:val="24"/>
          <w:szCs w:val="24"/>
        </w:rPr>
        <w:t xml:space="preserve"> population is only counted during the Annual </w:t>
      </w:r>
      <w:r w:rsidR="000C4744">
        <w:rPr>
          <w:i/>
          <w:sz w:val="24"/>
          <w:szCs w:val="24"/>
        </w:rPr>
        <w:t xml:space="preserve">Point in Time </w:t>
      </w:r>
      <w:r>
        <w:rPr>
          <w:i/>
          <w:sz w:val="24"/>
          <w:szCs w:val="24"/>
        </w:rPr>
        <w:t xml:space="preserve">Homeless Count conducted in January; therefore, there is no follow up data for comparison </w:t>
      </w:r>
      <w:r w:rsidR="000C4744">
        <w:rPr>
          <w:i/>
          <w:sz w:val="24"/>
          <w:szCs w:val="24"/>
        </w:rPr>
        <w:t xml:space="preserve">available </w:t>
      </w:r>
      <w:r>
        <w:rPr>
          <w:i/>
          <w:sz w:val="24"/>
          <w:szCs w:val="24"/>
        </w:rPr>
        <w:t>throughout the calendar year.</w:t>
      </w:r>
    </w:p>
    <w:p w14:paraId="216E005B" w14:textId="77777777" w:rsidR="000C4744" w:rsidRDefault="000C4744" w:rsidP="00B9462A">
      <w:pPr>
        <w:spacing w:after="0" w:line="240" w:lineRule="auto"/>
        <w:rPr>
          <w:i/>
          <w:sz w:val="24"/>
          <w:szCs w:val="24"/>
        </w:rPr>
      </w:pPr>
    </w:p>
    <w:p w14:paraId="52E0E8F4" w14:textId="0DE03068" w:rsidR="00314BF8" w:rsidRDefault="00A427DA" w:rsidP="00B9462A">
      <w:pPr>
        <w:spacing w:after="0" w:line="240" w:lineRule="auto"/>
      </w:pPr>
      <w:r>
        <w:fldChar w:fldCharType="begin"/>
      </w:r>
      <w:r>
        <w:instrText xml:space="preserve"> LINK </w:instrText>
      </w:r>
      <w:r w:rsidR="00B217CE">
        <w:instrText xml:space="preserve">Excel.Sheet.12 "C:\\Users\\Carolyn Curry\\Dropbox\\Carolyn\\Monitoring &amp; Eval\\Quarterly Reports\\QPR2 Data\\DATA Excel Chart.xlsx" Sheet1!R1C1:R9C17 </w:instrText>
      </w:r>
      <w:r>
        <w:instrText xml:space="preserve">\a \f 4 \h  \* MERGEFORMAT </w:instrText>
      </w:r>
      <w:r>
        <w:fldChar w:fldCharType="separate"/>
      </w:r>
    </w:p>
    <w:tbl>
      <w:tblPr>
        <w:tblW w:w="10620" w:type="dxa"/>
        <w:tblInd w:w="-10" w:type="dxa"/>
        <w:tblLayout w:type="fixed"/>
        <w:tblLook w:val="04A0" w:firstRow="1" w:lastRow="0" w:firstColumn="1" w:lastColumn="0" w:noHBand="0" w:noVBand="1"/>
      </w:tblPr>
      <w:tblGrid>
        <w:gridCol w:w="1530"/>
        <w:gridCol w:w="810"/>
        <w:gridCol w:w="990"/>
        <w:gridCol w:w="900"/>
        <w:gridCol w:w="900"/>
        <w:gridCol w:w="900"/>
        <w:gridCol w:w="990"/>
        <w:gridCol w:w="810"/>
        <w:gridCol w:w="990"/>
        <w:gridCol w:w="810"/>
        <w:gridCol w:w="990"/>
      </w:tblGrid>
      <w:tr w:rsidR="005B2EC2" w:rsidRPr="00314BF8" w14:paraId="29F8FAEF" w14:textId="77777777" w:rsidTr="000C4744">
        <w:trPr>
          <w:divId w:val="791436647"/>
          <w:trHeight w:val="615"/>
        </w:trPr>
        <w:tc>
          <w:tcPr>
            <w:tcW w:w="153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9B445F3" w14:textId="77777777" w:rsidR="005B2EC2" w:rsidRPr="00314BF8" w:rsidRDefault="005B2EC2" w:rsidP="00314BF8">
            <w:pPr>
              <w:spacing w:after="0" w:line="240" w:lineRule="auto"/>
              <w:jc w:val="center"/>
              <w:rPr>
                <w:rFonts w:ascii="Calibri" w:eastAsia="Times New Roman" w:hAnsi="Calibri" w:cs="Times New Roman"/>
                <w:b/>
                <w:bCs/>
                <w:color w:val="FF0000"/>
              </w:rPr>
            </w:pPr>
            <w:r w:rsidRPr="00314BF8">
              <w:rPr>
                <w:rFonts w:ascii="Calibri" w:eastAsia="Times New Roman" w:hAnsi="Calibri" w:cs="Times New Roman"/>
                <w:b/>
                <w:bCs/>
                <w:color w:val="FF0000"/>
              </w:rPr>
              <w:t> </w:t>
            </w:r>
          </w:p>
        </w:tc>
        <w:tc>
          <w:tcPr>
            <w:tcW w:w="1800" w:type="dxa"/>
            <w:gridSpan w:val="2"/>
            <w:tcBorders>
              <w:top w:val="single" w:sz="8" w:space="0" w:color="auto"/>
              <w:left w:val="nil"/>
              <w:bottom w:val="single" w:sz="8" w:space="0" w:color="auto"/>
              <w:right w:val="single" w:sz="8" w:space="0" w:color="000000"/>
            </w:tcBorders>
            <w:shd w:val="clear" w:color="000000" w:fill="D9D9D9"/>
            <w:vAlign w:val="center"/>
            <w:hideMark/>
          </w:tcPr>
          <w:p w14:paraId="23EC612F" w14:textId="77777777" w:rsidR="005B2EC2" w:rsidRPr="00314BF8" w:rsidRDefault="005B2EC2" w:rsidP="00314BF8">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Permanent Supportive Housing</w:t>
            </w:r>
          </w:p>
        </w:tc>
        <w:tc>
          <w:tcPr>
            <w:tcW w:w="1800" w:type="dxa"/>
            <w:gridSpan w:val="2"/>
            <w:tcBorders>
              <w:top w:val="single" w:sz="8" w:space="0" w:color="auto"/>
              <w:left w:val="nil"/>
              <w:bottom w:val="single" w:sz="8" w:space="0" w:color="auto"/>
              <w:right w:val="single" w:sz="8" w:space="0" w:color="000000"/>
            </w:tcBorders>
            <w:shd w:val="clear" w:color="000000" w:fill="D9D9D9"/>
            <w:vAlign w:val="center"/>
            <w:hideMark/>
          </w:tcPr>
          <w:p w14:paraId="3E58FCC0" w14:textId="77777777" w:rsidR="005B2EC2" w:rsidRPr="00314BF8" w:rsidRDefault="005B2EC2" w:rsidP="00314BF8">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Rapid Re-Housing</w:t>
            </w:r>
          </w:p>
        </w:tc>
        <w:tc>
          <w:tcPr>
            <w:tcW w:w="1890" w:type="dxa"/>
            <w:gridSpan w:val="2"/>
            <w:tcBorders>
              <w:top w:val="single" w:sz="8" w:space="0" w:color="auto"/>
              <w:left w:val="nil"/>
              <w:bottom w:val="single" w:sz="8" w:space="0" w:color="auto"/>
              <w:right w:val="single" w:sz="8" w:space="0" w:color="000000"/>
            </w:tcBorders>
            <w:shd w:val="clear" w:color="000000" w:fill="D9D9D9"/>
            <w:vAlign w:val="center"/>
            <w:hideMark/>
          </w:tcPr>
          <w:p w14:paraId="76E51FD2" w14:textId="77777777" w:rsidR="005B2EC2" w:rsidRPr="00314BF8" w:rsidRDefault="005B2EC2" w:rsidP="00314BF8">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Transitional Housing</w:t>
            </w:r>
          </w:p>
        </w:tc>
        <w:tc>
          <w:tcPr>
            <w:tcW w:w="1800" w:type="dxa"/>
            <w:gridSpan w:val="2"/>
            <w:tcBorders>
              <w:top w:val="single" w:sz="8" w:space="0" w:color="auto"/>
              <w:left w:val="nil"/>
              <w:bottom w:val="single" w:sz="8" w:space="0" w:color="auto"/>
              <w:right w:val="single" w:sz="8" w:space="0" w:color="000000"/>
            </w:tcBorders>
            <w:shd w:val="clear" w:color="000000" w:fill="D9D9D9"/>
            <w:vAlign w:val="center"/>
            <w:hideMark/>
          </w:tcPr>
          <w:p w14:paraId="4F02C5D5" w14:textId="77777777" w:rsidR="005B2EC2" w:rsidRPr="00314BF8" w:rsidRDefault="005B2EC2" w:rsidP="00314BF8">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Mimi Hunter Fitzgerald Safe Haven</w:t>
            </w:r>
          </w:p>
        </w:tc>
        <w:tc>
          <w:tcPr>
            <w:tcW w:w="1800" w:type="dxa"/>
            <w:gridSpan w:val="2"/>
            <w:tcBorders>
              <w:top w:val="single" w:sz="8" w:space="0" w:color="auto"/>
              <w:left w:val="nil"/>
              <w:bottom w:val="single" w:sz="8" w:space="0" w:color="auto"/>
              <w:right w:val="single" w:sz="8" w:space="0" w:color="000000"/>
            </w:tcBorders>
            <w:shd w:val="clear" w:color="000000" w:fill="D9D9D9"/>
            <w:vAlign w:val="center"/>
            <w:hideMark/>
          </w:tcPr>
          <w:p w14:paraId="386C50AD" w14:textId="77777777" w:rsidR="005B2EC2" w:rsidRPr="00314BF8" w:rsidRDefault="005B2EC2" w:rsidP="00314BF8">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Emergency Shelter</w:t>
            </w:r>
          </w:p>
        </w:tc>
      </w:tr>
      <w:tr w:rsidR="005B2EC2" w:rsidRPr="00314BF8" w14:paraId="3B52155A" w14:textId="77777777" w:rsidTr="000C4744">
        <w:trPr>
          <w:divId w:val="791436647"/>
          <w:trHeight w:val="315"/>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4FBF7BB0" w14:textId="77777777" w:rsidR="005B2EC2" w:rsidRPr="00314BF8" w:rsidRDefault="005B2EC2" w:rsidP="00314BF8">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Available Beds</w:t>
            </w:r>
          </w:p>
        </w:tc>
        <w:tc>
          <w:tcPr>
            <w:tcW w:w="1800" w:type="dxa"/>
            <w:gridSpan w:val="2"/>
            <w:tcBorders>
              <w:top w:val="single" w:sz="8" w:space="0" w:color="auto"/>
              <w:left w:val="nil"/>
              <w:bottom w:val="single" w:sz="8" w:space="0" w:color="auto"/>
              <w:right w:val="single" w:sz="8" w:space="0" w:color="000000"/>
            </w:tcBorders>
            <w:shd w:val="clear" w:color="auto" w:fill="auto"/>
            <w:vAlign w:val="center"/>
            <w:hideMark/>
          </w:tcPr>
          <w:p w14:paraId="7FF8F91B" w14:textId="74EA94C2" w:rsidR="005B2EC2" w:rsidRPr="00314BF8" w:rsidRDefault="005B2EC2" w:rsidP="00314BF8">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1365</w:t>
            </w:r>
          </w:p>
        </w:tc>
        <w:tc>
          <w:tcPr>
            <w:tcW w:w="1800" w:type="dxa"/>
            <w:gridSpan w:val="2"/>
            <w:tcBorders>
              <w:top w:val="single" w:sz="8" w:space="0" w:color="auto"/>
              <w:left w:val="nil"/>
              <w:bottom w:val="single" w:sz="8" w:space="0" w:color="auto"/>
              <w:right w:val="single" w:sz="8" w:space="0" w:color="000000"/>
            </w:tcBorders>
            <w:shd w:val="clear" w:color="auto" w:fill="auto"/>
            <w:vAlign w:val="center"/>
            <w:hideMark/>
          </w:tcPr>
          <w:p w14:paraId="0D798FC6" w14:textId="77777777" w:rsidR="005B2EC2" w:rsidRPr="00314BF8" w:rsidRDefault="005B2EC2" w:rsidP="00314BF8">
            <w:pPr>
              <w:spacing w:after="0" w:line="240" w:lineRule="auto"/>
              <w:jc w:val="center"/>
              <w:rPr>
                <w:rFonts w:eastAsia="Times New Roman" w:cs="Times New Roman"/>
                <w:b/>
                <w:bCs/>
                <w:color w:val="000000"/>
                <w:sz w:val="20"/>
                <w:szCs w:val="20"/>
              </w:rPr>
            </w:pPr>
            <w:r w:rsidRPr="00314BF8">
              <w:rPr>
                <w:rFonts w:eastAsia="Times New Roman" w:cs="Times New Roman"/>
                <w:b/>
                <w:bCs/>
                <w:color w:val="000000"/>
                <w:sz w:val="20"/>
                <w:szCs w:val="20"/>
              </w:rPr>
              <w:t>161</w:t>
            </w:r>
          </w:p>
        </w:tc>
        <w:tc>
          <w:tcPr>
            <w:tcW w:w="1890" w:type="dxa"/>
            <w:gridSpan w:val="2"/>
            <w:tcBorders>
              <w:top w:val="single" w:sz="8" w:space="0" w:color="auto"/>
              <w:left w:val="nil"/>
              <w:bottom w:val="single" w:sz="8" w:space="0" w:color="auto"/>
              <w:right w:val="single" w:sz="8" w:space="0" w:color="000000"/>
            </w:tcBorders>
            <w:shd w:val="clear" w:color="auto" w:fill="auto"/>
            <w:vAlign w:val="center"/>
            <w:hideMark/>
          </w:tcPr>
          <w:p w14:paraId="0B8D684A" w14:textId="627C306D" w:rsidR="005B2EC2" w:rsidRPr="00314BF8" w:rsidRDefault="005B2EC2" w:rsidP="00314BF8">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847</w:t>
            </w:r>
          </w:p>
        </w:tc>
        <w:tc>
          <w:tcPr>
            <w:tcW w:w="1800" w:type="dxa"/>
            <w:gridSpan w:val="2"/>
            <w:tcBorders>
              <w:top w:val="single" w:sz="8" w:space="0" w:color="auto"/>
              <w:left w:val="nil"/>
              <w:bottom w:val="single" w:sz="8" w:space="0" w:color="auto"/>
              <w:right w:val="single" w:sz="8" w:space="0" w:color="000000"/>
            </w:tcBorders>
            <w:shd w:val="clear" w:color="auto" w:fill="auto"/>
            <w:vAlign w:val="center"/>
            <w:hideMark/>
          </w:tcPr>
          <w:p w14:paraId="4AE68BB1" w14:textId="77777777" w:rsidR="005B2EC2" w:rsidRPr="00314BF8" w:rsidRDefault="005B2EC2" w:rsidP="00314BF8">
            <w:pPr>
              <w:spacing w:after="0" w:line="240" w:lineRule="auto"/>
              <w:jc w:val="center"/>
              <w:rPr>
                <w:rFonts w:eastAsia="Times New Roman" w:cs="Times New Roman"/>
                <w:b/>
                <w:bCs/>
                <w:color w:val="000000"/>
                <w:sz w:val="20"/>
                <w:szCs w:val="20"/>
              </w:rPr>
            </w:pPr>
            <w:r w:rsidRPr="00314BF8">
              <w:rPr>
                <w:rFonts w:eastAsia="Times New Roman" w:cs="Times New Roman"/>
                <w:b/>
                <w:bCs/>
                <w:color w:val="000000"/>
                <w:sz w:val="20"/>
                <w:szCs w:val="20"/>
              </w:rPr>
              <w:t>20</w:t>
            </w:r>
          </w:p>
        </w:tc>
        <w:tc>
          <w:tcPr>
            <w:tcW w:w="1800" w:type="dxa"/>
            <w:gridSpan w:val="2"/>
            <w:tcBorders>
              <w:top w:val="single" w:sz="8" w:space="0" w:color="auto"/>
              <w:left w:val="nil"/>
              <w:bottom w:val="single" w:sz="8" w:space="0" w:color="auto"/>
              <w:right w:val="single" w:sz="8" w:space="0" w:color="000000"/>
            </w:tcBorders>
            <w:shd w:val="clear" w:color="auto" w:fill="auto"/>
            <w:vAlign w:val="center"/>
            <w:hideMark/>
          </w:tcPr>
          <w:p w14:paraId="0989D09B" w14:textId="77777777" w:rsidR="005B2EC2" w:rsidRPr="00314BF8" w:rsidRDefault="005B2EC2" w:rsidP="00314BF8">
            <w:pPr>
              <w:spacing w:after="0" w:line="240" w:lineRule="auto"/>
              <w:jc w:val="center"/>
              <w:rPr>
                <w:rFonts w:eastAsia="Times New Roman" w:cs="Times New Roman"/>
                <w:b/>
                <w:bCs/>
                <w:color w:val="000000"/>
                <w:sz w:val="20"/>
                <w:szCs w:val="20"/>
              </w:rPr>
            </w:pPr>
            <w:r w:rsidRPr="00314BF8">
              <w:rPr>
                <w:rFonts w:eastAsia="Times New Roman" w:cs="Times New Roman"/>
                <w:b/>
                <w:bCs/>
                <w:color w:val="000000"/>
                <w:sz w:val="20"/>
                <w:szCs w:val="20"/>
              </w:rPr>
              <w:t>1330</w:t>
            </w:r>
          </w:p>
        </w:tc>
      </w:tr>
      <w:tr w:rsidR="005B2EC2" w:rsidRPr="00314BF8" w14:paraId="3083E9A6" w14:textId="77777777" w:rsidTr="000C4744">
        <w:trPr>
          <w:divId w:val="791436647"/>
          <w:trHeight w:val="345"/>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5709EFF7" w14:textId="77777777" w:rsidR="005B2EC2" w:rsidRPr="00314BF8" w:rsidRDefault="005B2EC2" w:rsidP="00314BF8">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 </w:t>
            </w:r>
          </w:p>
        </w:tc>
        <w:tc>
          <w:tcPr>
            <w:tcW w:w="810" w:type="dxa"/>
            <w:tcBorders>
              <w:top w:val="nil"/>
              <w:left w:val="nil"/>
              <w:bottom w:val="single" w:sz="8" w:space="0" w:color="auto"/>
              <w:right w:val="single" w:sz="8" w:space="0" w:color="auto"/>
            </w:tcBorders>
            <w:shd w:val="clear" w:color="auto" w:fill="auto"/>
            <w:vAlign w:val="center"/>
            <w:hideMark/>
          </w:tcPr>
          <w:p w14:paraId="3347C181" w14:textId="77777777" w:rsidR="005B2EC2" w:rsidRPr="00314BF8" w:rsidRDefault="005B2EC2" w:rsidP="00314BF8">
            <w:pPr>
              <w:spacing w:after="0" w:line="240" w:lineRule="auto"/>
              <w:jc w:val="center"/>
              <w:rPr>
                <w:rFonts w:eastAsia="Times New Roman" w:cs="Times New Roman"/>
                <w:b/>
                <w:bCs/>
                <w:color w:val="000000"/>
                <w:sz w:val="20"/>
                <w:szCs w:val="20"/>
              </w:rPr>
            </w:pPr>
            <w:r w:rsidRPr="00314BF8">
              <w:rPr>
                <w:rFonts w:eastAsia="Times New Roman" w:cs="Times New Roman"/>
                <w:b/>
                <w:bCs/>
                <w:color w:val="000000"/>
                <w:sz w:val="20"/>
                <w:szCs w:val="20"/>
              </w:rPr>
              <w:t>Jan PIT</w:t>
            </w:r>
          </w:p>
        </w:tc>
        <w:tc>
          <w:tcPr>
            <w:tcW w:w="990" w:type="dxa"/>
            <w:tcBorders>
              <w:top w:val="nil"/>
              <w:left w:val="nil"/>
              <w:bottom w:val="single" w:sz="8" w:space="0" w:color="auto"/>
              <w:right w:val="single" w:sz="8" w:space="0" w:color="auto"/>
            </w:tcBorders>
            <w:shd w:val="clear" w:color="auto" w:fill="auto"/>
            <w:vAlign w:val="center"/>
            <w:hideMark/>
          </w:tcPr>
          <w:p w14:paraId="779174CB"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July PIT</w:t>
            </w:r>
          </w:p>
        </w:tc>
        <w:tc>
          <w:tcPr>
            <w:tcW w:w="900" w:type="dxa"/>
            <w:tcBorders>
              <w:top w:val="nil"/>
              <w:left w:val="nil"/>
              <w:bottom w:val="single" w:sz="8" w:space="0" w:color="auto"/>
              <w:right w:val="single" w:sz="8" w:space="0" w:color="auto"/>
            </w:tcBorders>
            <w:shd w:val="clear" w:color="auto" w:fill="auto"/>
            <w:vAlign w:val="center"/>
            <w:hideMark/>
          </w:tcPr>
          <w:p w14:paraId="223A8C47"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Jan PIT</w:t>
            </w:r>
          </w:p>
        </w:tc>
        <w:tc>
          <w:tcPr>
            <w:tcW w:w="900" w:type="dxa"/>
            <w:tcBorders>
              <w:top w:val="nil"/>
              <w:left w:val="nil"/>
              <w:bottom w:val="single" w:sz="8" w:space="0" w:color="auto"/>
              <w:right w:val="single" w:sz="8" w:space="0" w:color="auto"/>
            </w:tcBorders>
            <w:shd w:val="clear" w:color="auto" w:fill="auto"/>
            <w:vAlign w:val="center"/>
            <w:hideMark/>
          </w:tcPr>
          <w:p w14:paraId="7BEE74C3"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July PIT</w:t>
            </w:r>
          </w:p>
        </w:tc>
        <w:tc>
          <w:tcPr>
            <w:tcW w:w="900" w:type="dxa"/>
            <w:tcBorders>
              <w:top w:val="nil"/>
              <w:left w:val="nil"/>
              <w:bottom w:val="single" w:sz="8" w:space="0" w:color="auto"/>
              <w:right w:val="single" w:sz="8" w:space="0" w:color="auto"/>
            </w:tcBorders>
            <w:shd w:val="clear" w:color="auto" w:fill="auto"/>
            <w:vAlign w:val="center"/>
            <w:hideMark/>
          </w:tcPr>
          <w:p w14:paraId="06025D32"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Jan PIT</w:t>
            </w:r>
          </w:p>
        </w:tc>
        <w:tc>
          <w:tcPr>
            <w:tcW w:w="990" w:type="dxa"/>
            <w:tcBorders>
              <w:top w:val="nil"/>
              <w:left w:val="nil"/>
              <w:bottom w:val="single" w:sz="8" w:space="0" w:color="auto"/>
              <w:right w:val="single" w:sz="8" w:space="0" w:color="auto"/>
            </w:tcBorders>
            <w:shd w:val="clear" w:color="auto" w:fill="auto"/>
            <w:vAlign w:val="center"/>
            <w:hideMark/>
          </w:tcPr>
          <w:p w14:paraId="4B256D2A"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July PIT</w:t>
            </w:r>
          </w:p>
        </w:tc>
        <w:tc>
          <w:tcPr>
            <w:tcW w:w="810" w:type="dxa"/>
            <w:tcBorders>
              <w:top w:val="nil"/>
              <w:left w:val="nil"/>
              <w:bottom w:val="single" w:sz="8" w:space="0" w:color="auto"/>
              <w:right w:val="single" w:sz="8" w:space="0" w:color="auto"/>
            </w:tcBorders>
            <w:shd w:val="clear" w:color="auto" w:fill="auto"/>
            <w:vAlign w:val="center"/>
            <w:hideMark/>
          </w:tcPr>
          <w:p w14:paraId="75D9AF1C"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Jan PIT</w:t>
            </w:r>
          </w:p>
        </w:tc>
        <w:tc>
          <w:tcPr>
            <w:tcW w:w="990" w:type="dxa"/>
            <w:tcBorders>
              <w:top w:val="nil"/>
              <w:left w:val="nil"/>
              <w:bottom w:val="single" w:sz="8" w:space="0" w:color="auto"/>
              <w:right w:val="single" w:sz="8" w:space="0" w:color="auto"/>
            </w:tcBorders>
            <w:shd w:val="clear" w:color="auto" w:fill="auto"/>
            <w:vAlign w:val="center"/>
            <w:hideMark/>
          </w:tcPr>
          <w:p w14:paraId="49C78985"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July PIT</w:t>
            </w:r>
          </w:p>
        </w:tc>
        <w:tc>
          <w:tcPr>
            <w:tcW w:w="810" w:type="dxa"/>
            <w:tcBorders>
              <w:top w:val="nil"/>
              <w:left w:val="nil"/>
              <w:bottom w:val="single" w:sz="8" w:space="0" w:color="auto"/>
              <w:right w:val="single" w:sz="8" w:space="0" w:color="auto"/>
            </w:tcBorders>
            <w:shd w:val="clear" w:color="auto" w:fill="auto"/>
            <w:vAlign w:val="center"/>
            <w:hideMark/>
          </w:tcPr>
          <w:p w14:paraId="06F39148"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Jan PIT</w:t>
            </w:r>
          </w:p>
        </w:tc>
        <w:tc>
          <w:tcPr>
            <w:tcW w:w="990" w:type="dxa"/>
            <w:tcBorders>
              <w:top w:val="nil"/>
              <w:left w:val="nil"/>
              <w:bottom w:val="single" w:sz="8" w:space="0" w:color="auto"/>
              <w:right w:val="single" w:sz="8" w:space="0" w:color="auto"/>
            </w:tcBorders>
            <w:shd w:val="clear" w:color="auto" w:fill="auto"/>
            <w:vAlign w:val="center"/>
            <w:hideMark/>
          </w:tcPr>
          <w:p w14:paraId="643DA944"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July PIT</w:t>
            </w:r>
          </w:p>
        </w:tc>
      </w:tr>
      <w:tr w:rsidR="005B2EC2" w:rsidRPr="00314BF8" w14:paraId="4605921D" w14:textId="77777777" w:rsidTr="000C4744">
        <w:trPr>
          <w:divId w:val="791436647"/>
          <w:trHeight w:val="315"/>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4FA762E4" w14:textId="77777777" w:rsidR="005B2EC2" w:rsidRPr="00314BF8" w:rsidRDefault="005B2EC2" w:rsidP="00314BF8">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Total Clients</w:t>
            </w:r>
          </w:p>
        </w:tc>
        <w:tc>
          <w:tcPr>
            <w:tcW w:w="810" w:type="dxa"/>
            <w:tcBorders>
              <w:top w:val="nil"/>
              <w:left w:val="nil"/>
              <w:bottom w:val="single" w:sz="8" w:space="0" w:color="auto"/>
              <w:right w:val="single" w:sz="8" w:space="0" w:color="auto"/>
            </w:tcBorders>
            <w:shd w:val="clear" w:color="auto" w:fill="auto"/>
            <w:vAlign w:val="center"/>
            <w:hideMark/>
          </w:tcPr>
          <w:p w14:paraId="638999A5" w14:textId="108BD5D5" w:rsidR="005B2EC2" w:rsidRPr="00314BF8" w:rsidRDefault="005B2EC2" w:rsidP="00314BF8">
            <w:pPr>
              <w:spacing w:after="0" w:line="240" w:lineRule="auto"/>
              <w:jc w:val="center"/>
              <w:rPr>
                <w:rFonts w:eastAsia="Times New Roman" w:cs="Times New Roman"/>
                <w:b/>
                <w:bCs/>
                <w:color w:val="000000"/>
                <w:sz w:val="20"/>
                <w:szCs w:val="20"/>
              </w:rPr>
            </w:pPr>
            <w:r w:rsidRPr="00314BF8">
              <w:rPr>
                <w:rFonts w:eastAsia="Times New Roman" w:cs="Times New Roman"/>
                <w:b/>
                <w:bCs/>
                <w:color w:val="000000"/>
                <w:sz w:val="20"/>
                <w:szCs w:val="20"/>
              </w:rPr>
              <w:t> </w:t>
            </w:r>
            <w:r w:rsidRPr="00CA3434">
              <w:rPr>
                <w:rFonts w:eastAsia="Times New Roman" w:cs="Times New Roman"/>
                <w:b/>
                <w:bCs/>
                <w:color w:val="000000"/>
                <w:sz w:val="20"/>
                <w:szCs w:val="20"/>
              </w:rPr>
              <w:t>1437</w:t>
            </w:r>
          </w:p>
        </w:tc>
        <w:tc>
          <w:tcPr>
            <w:tcW w:w="990" w:type="dxa"/>
            <w:tcBorders>
              <w:top w:val="nil"/>
              <w:left w:val="nil"/>
              <w:bottom w:val="single" w:sz="8" w:space="0" w:color="auto"/>
              <w:right w:val="single" w:sz="8" w:space="0" w:color="auto"/>
            </w:tcBorders>
            <w:shd w:val="clear" w:color="auto" w:fill="auto"/>
            <w:vAlign w:val="center"/>
            <w:hideMark/>
          </w:tcPr>
          <w:p w14:paraId="732DA975" w14:textId="026C5274" w:rsidR="005B2EC2" w:rsidRPr="002E6BF9" w:rsidRDefault="005B2EC2" w:rsidP="008B2386">
            <w:pPr>
              <w:spacing w:after="0" w:line="240" w:lineRule="auto"/>
              <w:jc w:val="center"/>
              <w:rPr>
                <w:rFonts w:eastAsia="Times New Roman" w:cs="Times New Roman"/>
                <w:b/>
                <w:bCs/>
                <w:sz w:val="20"/>
                <w:szCs w:val="20"/>
              </w:rPr>
            </w:pPr>
            <w:r w:rsidRPr="002E6BF9">
              <w:rPr>
                <w:rFonts w:eastAsia="Times New Roman" w:cs="Times New Roman"/>
                <w:b/>
                <w:bCs/>
                <w:sz w:val="20"/>
                <w:szCs w:val="20"/>
              </w:rPr>
              <w:t>141</w:t>
            </w:r>
            <w:r>
              <w:rPr>
                <w:rFonts w:eastAsia="Times New Roman" w:cs="Times New Roman"/>
                <w:b/>
                <w:bCs/>
                <w:sz w:val="20"/>
                <w:szCs w:val="20"/>
              </w:rPr>
              <w:t>6</w:t>
            </w:r>
          </w:p>
        </w:tc>
        <w:tc>
          <w:tcPr>
            <w:tcW w:w="900" w:type="dxa"/>
            <w:tcBorders>
              <w:top w:val="nil"/>
              <w:left w:val="nil"/>
              <w:bottom w:val="single" w:sz="8" w:space="0" w:color="auto"/>
              <w:right w:val="single" w:sz="8" w:space="0" w:color="auto"/>
            </w:tcBorders>
            <w:shd w:val="clear" w:color="auto" w:fill="auto"/>
            <w:vAlign w:val="center"/>
            <w:hideMark/>
          </w:tcPr>
          <w:p w14:paraId="39CAEF5B" w14:textId="0C004F33" w:rsidR="005B2EC2" w:rsidRPr="002E6BF9" w:rsidRDefault="005B2EC2" w:rsidP="007B65E4">
            <w:pPr>
              <w:spacing w:after="0" w:line="240" w:lineRule="auto"/>
              <w:jc w:val="center"/>
              <w:rPr>
                <w:rFonts w:eastAsia="Times New Roman" w:cs="Times New Roman"/>
                <w:b/>
                <w:bCs/>
                <w:sz w:val="20"/>
                <w:szCs w:val="20"/>
              </w:rPr>
            </w:pPr>
            <w:r w:rsidRPr="002E6BF9">
              <w:rPr>
                <w:rFonts w:eastAsia="Times New Roman" w:cs="Times New Roman"/>
                <w:b/>
                <w:bCs/>
                <w:sz w:val="20"/>
                <w:szCs w:val="20"/>
              </w:rPr>
              <w:t xml:space="preserve">N.A.                                      </w:t>
            </w:r>
          </w:p>
        </w:tc>
        <w:tc>
          <w:tcPr>
            <w:tcW w:w="900" w:type="dxa"/>
            <w:tcBorders>
              <w:top w:val="nil"/>
              <w:left w:val="nil"/>
              <w:bottom w:val="single" w:sz="8" w:space="0" w:color="auto"/>
              <w:right w:val="single" w:sz="8" w:space="0" w:color="auto"/>
            </w:tcBorders>
            <w:shd w:val="clear" w:color="auto" w:fill="auto"/>
            <w:vAlign w:val="center"/>
            <w:hideMark/>
          </w:tcPr>
          <w:p w14:paraId="64C2CA73" w14:textId="25EEDED0"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75</w:t>
            </w:r>
          </w:p>
        </w:tc>
        <w:tc>
          <w:tcPr>
            <w:tcW w:w="900" w:type="dxa"/>
            <w:tcBorders>
              <w:top w:val="nil"/>
              <w:left w:val="nil"/>
              <w:bottom w:val="single" w:sz="8" w:space="0" w:color="auto"/>
              <w:right w:val="single" w:sz="8" w:space="0" w:color="auto"/>
            </w:tcBorders>
            <w:shd w:val="clear" w:color="auto" w:fill="auto"/>
            <w:vAlign w:val="center"/>
            <w:hideMark/>
          </w:tcPr>
          <w:p w14:paraId="1FDD967D" w14:textId="5A7A40B8" w:rsidR="005B2EC2" w:rsidRPr="002E6BF9" w:rsidRDefault="00A0019B" w:rsidP="00314BF8">
            <w:pPr>
              <w:spacing w:after="0" w:line="240" w:lineRule="auto"/>
              <w:jc w:val="center"/>
              <w:rPr>
                <w:rFonts w:eastAsia="Times New Roman" w:cs="Times New Roman"/>
                <w:b/>
                <w:bCs/>
                <w:sz w:val="20"/>
                <w:szCs w:val="20"/>
              </w:rPr>
            </w:pPr>
            <w:r>
              <w:rPr>
                <w:rFonts w:eastAsia="Times New Roman" w:cs="Times New Roman"/>
                <w:b/>
                <w:bCs/>
                <w:sz w:val="20"/>
                <w:szCs w:val="20"/>
              </w:rPr>
              <w:t>948</w:t>
            </w:r>
          </w:p>
        </w:tc>
        <w:tc>
          <w:tcPr>
            <w:tcW w:w="990" w:type="dxa"/>
            <w:tcBorders>
              <w:top w:val="nil"/>
              <w:left w:val="nil"/>
              <w:bottom w:val="single" w:sz="8" w:space="0" w:color="auto"/>
              <w:right w:val="single" w:sz="8" w:space="0" w:color="auto"/>
            </w:tcBorders>
            <w:shd w:val="clear" w:color="auto" w:fill="auto"/>
            <w:vAlign w:val="center"/>
            <w:hideMark/>
          </w:tcPr>
          <w:p w14:paraId="2A3B88E2" w14:textId="623590CF" w:rsidR="005B2EC2" w:rsidRPr="002E6BF9" w:rsidRDefault="005B2EC2" w:rsidP="00314BF8">
            <w:pPr>
              <w:spacing w:after="0" w:line="240" w:lineRule="auto"/>
              <w:jc w:val="center"/>
              <w:rPr>
                <w:rFonts w:eastAsia="Times New Roman" w:cs="Times New Roman"/>
                <w:b/>
                <w:bCs/>
                <w:sz w:val="20"/>
                <w:szCs w:val="20"/>
              </w:rPr>
            </w:pPr>
            <w:r>
              <w:rPr>
                <w:rFonts w:eastAsia="Times New Roman" w:cs="Times New Roman"/>
                <w:b/>
                <w:bCs/>
                <w:sz w:val="20"/>
                <w:szCs w:val="20"/>
              </w:rPr>
              <w:t>702</w:t>
            </w:r>
          </w:p>
        </w:tc>
        <w:tc>
          <w:tcPr>
            <w:tcW w:w="810" w:type="dxa"/>
            <w:tcBorders>
              <w:top w:val="nil"/>
              <w:left w:val="nil"/>
              <w:bottom w:val="single" w:sz="8" w:space="0" w:color="auto"/>
              <w:right w:val="single" w:sz="8" w:space="0" w:color="auto"/>
            </w:tcBorders>
            <w:shd w:val="clear" w:color="auto" w:fill="auto"/>
            <w:vAlign w:val="center"/>
            <w:hideMark/>
          </w:tcPr>
          <w:p w14:paraId="48FF153A" w14:textId="612B081D"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20 </w:t>
            </w:r>
          </w:p>
        </w:tc>
        <w:tc>
          <w:tcPr>
            <w:tcW w:w="990" w:type="dxa"/>
            <w:tcBorders>
              <w:top w:val="nil"/>
              <w:left w:val="nil"/>
              <w:bottom w:val="single" w:sz="8" w:space="0" w:color="auto"/>
              <w:right w:val="single" w:sz="8" w:space="0" w:color="auto"/>
            </w:tcBorders>
            <w:shd w:val="clear" w:color="auto" w:fill="auto"/>
            <w:vAlign w:val="center"/>
            <w:hideMark/>
          </w:tcPr>
          <w:p w14:paraId="713367BB"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19</w:t>
            </w:r>
          </w:p>
        </w:tc>
        <w:tc>
          <w:tcPr>
            <w:tcW w:w="810" w:type="dxa"/>
            <w:tcBorders>
              <w:top w:val="nil"/>
              <w:left w:val="nil"/>
              <w:bottom w:val="single" w:sz="8" w:space="0" w:color="auto"/>
              <w:right w:val="single" w:sz="8" w:space="0" w:color="auto"/>
            </w:tcBorders>
            <w:shd w:val="clear" w:color="auto" w:fill="auto"/>
            <w:vAlign w:val="center"/>
            <w:hideMark/>
          </w:tcPr>
          <w:p w14:paraId="5C1F5676" w14:textId="089F6236"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1273 </w:t>
            </w:r>
          </w:p>
        </w:tc>
        <w:tc>
          <w:tcPr>
            <w:tcW w:w="990" w:type="dxa"/>
            <w:tcBorders>
              <w:top w:val="nil"/>
              <w:left w:val="nil"/>
              <w:bottom w:val="single" w:sz="8" w:space="0" w:color="auto"/>
              <w:right w:val="single" w:sz="8" w:space="0" w:color="auto"/>
            </w:tcBorders>
            <w:shd w:val="clear" w:color="auto" w:fill="auto"/>
            <w:vAlign w:val="center"/>
            <w:hideMark/>
          </w:tcPr>
          <w:p w14:paraId="1F3FD727" w14:textId="3D328AA1"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1167</w:t>
            </w:r>
          </w:p>
        </w:tc>
      </w:tr>
      <w:tr w:rsidR="005B2EC2" w:rsidRPr="00314BF8" w14:paraId="7B755768" w14:textId="77777777" w:rsidTr="000C4744">
        <w:trPr>
          <w:divId w:val="791436647"/>
          <w:trHeight w:val="315"/>
        </w:trPr>
        <w:tc>
          <w:tcPr>
            <w:tcW w:w="1530" w:type="dxa"/>
            <w:tcBorders>
              <w:top w:val="nil"/>
              <w:left w:val="single" w:sz="8" w:space="0" w:color="auto"/>
              <w:bottom w:val="single" w:sz="8" w:space="0" w:color="auto"/>
              <w:right w:val="single" w:sz="8" w:space="0" w:color="auto"/>
            </w:tcBorders>
            <w:shd w:val="clear" w:color="000000" w:fill="D9D9D9"/>
            <w:vAlign w:val="center"/>
          </w:tcPr>
          <w:p w14:paraId="41CD6B40" w14:textId="17C53586" w:rsidR="005B2EC2" w:rsidRPr="00314BF8" w:rsidRDefault="005B2EC2" w:rsidP="00FF6C0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Utilization Rate</w:t>
            </w:r>
          </w:p>
        </w:tc>
        <w:tc>
          <w:tcPr>
            <w:tcW w:w="810" w:type="dxa"/>
            <w:tcBorders>
              <w:top w:val="nil"/>
              <w:left w:val="nil"/>
              <w:bottom w:val="single" w:sz="8" w:space="0" w:color="auto"/>
              <w:right w:val="single" w:sz="8" w:space="0" w:color="auto"/>
            </w:tcBorders>
            <w:shd w:val="clear" w:color="auto" w:fill="auto"/>
            <w:vAlign w:val="center"/>
          </w:tcPr>
          <w:p w14:paraId="0098502B" w14:textId="320563A6" w:rsidR="005B2EC2" w:rsidRPr="00CA3434" w:rsidRDefault="005B2EC2" w:rsidP="00314BF8">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105%</w:t>
            </w:r>
          </w:p>
        </w:tc>
        <w:tc>
          <w:tcPr>
            <w:tcW w:w="990" w:type="dxa"/>
            <w:tcBorders>
              <w:top w:val="nil"/>
              <w:left w:val="nil"/>
              <w:bottom w:val="single" w:sz="8" w:space="0" w:color="auto"/>
              <w:right w:val="single" w:sz="8" w:space="0" w:color="auto"/>
            </w:tcBorders>
            <w:shd w:val="clear" w:color="auto" w:fill="auto"/>
            <w:vAlign w:val="center"/>
          </w:tcPr>
          <w:p w14:paraId="62FBD3D3" w14:textId="78BE0DF8" w:rsidR="005B2EC2" w:rsidRPr="002E6BF9" w:rsidRDefault="005B2EC2" w:rsidP="00314BF8">
            <w:pPr>
              <w:spacing w:after="0" w:line="240" w:lineRule="auto"/>
              <w:jc w:val="center"/>
              <w:rPr>
                <w:rFonts w:eastAsia="Times New Roman" w:cs="Times New Roman"/>
                <w:b/>
                <w:bCs/>
                <w:sz w:val="20"/>
                <w:szCs w:val="20"/>
              </w:rPr>
            </w:pPr>
            <w:r>
              <w:rPr>
                <w:rFonts w:eastAsia="Times New Roman" w:cs="Times New Roman"/>
                <w:b/>
                <w:bCs/>
                <w:sz w:val="20"/>
                <w:szCs w:val="20"/>
              </w:rPr>
              <w:t>104</w:t>
            </w:r>
            <w:r w:rsidRPr="002E6BF9">
              <w:rPr>
                <w:rFonts w:eastAsia="Times New Roman" w:cs="Times New Roman"/>
                <w:b/>
                <w:bCs/>
                <w:sz w:val="20"/>
                <w:szCs w:val="20"/>
              </w:rPr>
              <w:t>%</w:t>
            </w:r>
          </w:p>
        </w:tc>
        <w:tc>
          <w:tcPr>
            <w:tcW w:w="900" w:type="dxa"/>
            <w:tcBorders>
              <w:top w:val="nil"/>
              <w:left w:val="nil"/>
              <w:bottom w:val="single" w:sz="8" w:space="0" w:color="auto"/>
              <w:right w:val="single" w:sz="8" w:space="0" w:color="auto"/>
            </w:tcBorders>
            <w:shd w:val="clear" w:color="auto" w:fill="auto"/>
            <w:vAlign w:val="center"/>
          </w:tcPr>
          <w:p w14:paraId="71FA1FCA" w14:textId="6FC1AC5B"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N.A.</w:t>
            </w:r>
          </w:p>
        </w:tc>
        <w:tc>
          <w:tcPr>
            <w:tcW w:w="900" w:type="dxa"/>
            <w:tcBorders>
              <w:top w:val="nil"/>
              <w:left w:val="nil"/>
              <w:bottom w:val="single" w:sz="8" w:space="0" w:color="auto"/>
              <w:right w:val="single" w:sz="8" w:space="0" w:color="auto"/>
            </w:tcBorders>
            <w:shd w:val="clear" w:color="auto" w:fill="auto"/>
            <w:vAlign w:val="center"/>
          </w:tcPr>
          <w:p w14:paraId="2A92F485" w14:textId="2086F785"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47%</w:t>
            </w:r>
          </w:p>
        </w:tc>
        <w:tc>
          <w:tcPr>
            <w:tcW w:w="900" w:type="dxa"/>
            <w:tcBorders>
              <w:top w:val="nil"/>
              <w:left w:val="nil"/>
              <w:bottom w:val="single" w:sz="8" w:space="0" w:color="auto"/>
              <w:right w:val="single" w:sz="8" w:space="0" w:color="auto"/>
            </w:tcBorders>
            <w:shd w:val="clear" w:color="auto" w:fill="auto"/>
            <w:vAlign w:val="center"/>
          </w:tcPr>
          <w:p w14:paraId="62BB499D" w14:textId="1F88B489" w:rsidR="005B2EC2" w:rsidRPr="002E6BF9" w:rsidRDefault="00A7600B" w:rsidP="00314BF8">
            <w:pPr>
              <w:spacing w:after="0" w:line="240" w:lineRule="auto"/>
              <w:jc w:val="center"/>
              <w:rPr>
                <w:rFonts w:eastAsia="Times New Roman" w:cs="Times New Roman"/>
                <w:b/>
                <w:bCs/>
                <w:sz w:val="20"/>
                <w:szCs w:val="20"/>
              </w:rPr>
            </w:pPr>
            <w:r>
              <w:rPr>
                <w:rFonts w:eastAsia="Times New Roman" w:cs="Times New Roman"/>
                <w:b/>
                <w:bCs/>
                <w:sz w:val="20"/>
                <w:szCs w:val="20"/>
              </w:rPr>
              <w:t>112</w:t>
            </w:r>
            <w:r w:rsidR="005B2EC2" w:rsidRPr="002E6BF9">
              <w:rPr>
                <w:rFonts w:eastAsia="Times New Roman" w:cs="Times New Roman"/>
                <w:b/>
                <w:bCs/>
                <w:sz w:val="20"/>
                <w:szCs w:val="20"/>
              </w:rPr>
              <w:t>%</w:t>
            </w:r>
          </w:p>
        </w:tc>
        <w:tc>
          <w:tcPr>
            <w:tcW w:w="990" w:type="dxa"/>
            <w:tcBorders>
              <w:top w:val="nil"/>
              <w:left w:val="nil"/>
              <w:bottom w:val="single" w:sz="8" w:space="0" w:color="auto"/>
              <w:right w:val="single" w:sz="8" w:space="0" w:color="auto"/>
            </w:tcBorders>
            <w:shd w:val="clear" w:color="auto" w:fill="auto"/>
            <w:vAlign w:val="center"/>
          </w:tcPr>
          <w:p w14:paraId="1EE150B0" w14:textId="15E09403" w:rsidR="005B2EC2" w:rsidRPr="002E6BF9" w:rsidRDefault="005B2EC2" w:rsidP="00314BF8">
            <w:pPr>
              <w:spacing w:after="0" w:line="240" w:lineRule="auto"/>
              <w:jc w:val="center"/>
              <w:rPr>
                <w:rFonts w:eastAsia="Times New Roman" w:cs="Times New Roman"/>
                <w:b/>
                <w:bCs/>
                <w:sz w:val="20"/>
                <w:szCs w:val="20"/>
              </w:rPr>
            </w:pPr>
            <w:r>
              <w:rPr>
                <w:rFonts w:eastAsia="Times New Roman" w:cs="Times New Roman"/>
                <w:b/>
                <w:bCs/>
                <w:sz w:val="20"/>
                <w:szCs w:val="20"/>
              </w:rPr>
              <w:t>83</w:t>
            </w:r>
            <w:r w:rsidRPr="002E6BF9">
              <w:rPr>
                <w:rFonts w:eastAsia="Times New Roman" w:cs="Times New Roman"/>
                <w:b/>
                <w:bCs/>
                <w:sz w:val="20"/>
                <w:szCs w:val="20"/>
              </w:rPr>
              <w:t>%</w:t>
            </w:r>
          </w:p>
        </w:tc>
        <w:tc>
          <w:tcPr>
            <w:tcW w:w="810" w:type="dxa"/>
            <w:tcBorders>
              <w:top w:val="nil"/>
              <w:left w:val="nil"/>
              <w:bottom w:val="single" w:sz="8" w:space="0" w:color="auto"/>
              <w:right w:val="single" w:sz="8" w:space="0" w:color="auto"/>
            </w:tcBorders>
            <w:shd w:val="clear" w:color="auto" w:fill="auto"/>
            <w:vAlign w:val="center"/>
          </w:tcPr>
          <w:p w14:paraId="44E12AE8" w14:textId="48DE45B2"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100%</w:t>
            </w:r>
          </w:p>
        </w:tc>
        <w:tc>
          <w:tcPr>
            <w:tcW w:w="990" w:type="dxa"/>
            <w:tcBorders>
              <w:top w:val="nil"/>
              <w:left w:val="nil"/>
              <w:bottom w:val="single" w:sz="8" w:space="0" w:color="auto"/>
              <w:right w:val="single" w:sz="8" w:space="0" w:color="auto"/>
            </w:tcBorders>
            <w:shd w:val="clear" w:color="auto" w:fill="auto"/>
            <w:vAlign w:val="center"/>
          </w:tcPr>
          <w:p w14:paraId="3355FA2B" w14:textId="3165B42E"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95%</w:t>
            </w:r>
          </w:p>
        </w:tc>
        <w:tc>
          <w:tcPr>
            <w:tcW w:w="810" w:type="dxa"/>
            <w:tcBorders>
              <w:top w:val="nil"/>
              <w:left w:val="nil"/>
              <w:bottom w:val="single" w:sz="8" w:space="0" w:color="auto"/>
              <w:right w:val="single" w:sz="8" w:space="0" w:color="auto"/>
            </w:tcBorders>
            <w:shd w:val="clear" w:color="auto" w:fill="auto"/>
            <w:vAlign w:val="center"/>
          </w:tcPr>
          <w:p w14:paraId="046B10F3" w14:textId="0092CC44"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96%</w:t>
            </w:r>
          </w:p>
        </w:tc>
        <w:tc>
          <w:tcPr>
            <w:tcW w:w="990" w:type="dxa"/>
            <w:tcBorders>
              <w:top w:val="nil"/>
              <w:left w:val="nil"/>
              <w:bottom w:val="single" w:sz="8" w:space="0" w:color="auto"/>
              <w:right w:val="single" w:sz="8" w:space="0" w:color="auto"/>
            </w:tcBorders>
            <w:shd w:val="clear" w:color="auto" w:fill="auto"/>
            <w:vAlign w:val="center"/>
          </w:tcPr>
          <w:p w14:paraId="3BC9B8C8" w14:textId="3834FFEC"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88%</w:t>
            </w:r>
          </w:p>
        </w:tc>
      </w:tr>
      <w:tr w:rsidR="005B2EC2" w:rsidRPr="00314BF8" w14:paraId="2CEEE91E" w14:textId="77777777" w:rsidTr="000C4744">
        <w:trPr>
          <w:divId w:val="791436647"/>
          <w:trHeight w:val="315"/>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5EC33315" w14:textId="77777777" w:rsidR="005B2EC2" w:rsidRPr="00314BF8" w:rsidRDefault="005B2EC2" w:rsidP="00314BF8">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Adults</w:t>
            </w:r>
          </w:p>
        </w:tc>
        <w:tc>
          <w:tcPr>
            <w:tcW w:w="810" w:type="dxa"/>
            <w:tcBorders>
              <w:top w:val="nil"/>
              <w:left w:val="nil"/>
              <w:bottom w:val="single" w:sz="8" w:space="0" w:color="auto"/>
              <w:right w:val="single" w:sz="8" w:space="0" w:color="auto"/>
            </w:tcBorders>
            <w:shd w:val="clear" w:color="auto" w:fill="auto"/>
            <w:vAlign w:val="center"/>
            <w:hideMark/>
          </w:tcPr>
          <w:p w14:paraId="018B9096" w14:textId="4ACE1451" w:rsidR="005B2EC2" w:rsidRPr="00314BF8" w:rsidRDefault="005B2EC2" w:rsidP="000C703A">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1145</w:t>
            </w:r>
            <w:r w:rsidRPr="00314BF8">
              <w:rPr>
                <w:rFonts w:eastAsia="Times New Roman" w:cs="Times New Roman"/>
                <w:b/>
                <w:bCs/>
                <w:color w:val="000000"/>
                <w:sz w:val="20"/>
                <w:szCs w:val="20"/>
              </w:rPr>
              <w:t> </w:t>
            </w:r>
          </w:p>
        </w:tc>
        <w:tc>
          <w:tcPr>
            <w:tcW w:w="990" w:type="dxa"/>
            <w:tcBorders>
              <w:top w:val="nil"/>
              <w:left w:val="nil"/>
              <w:bottom w:val="single" w:sz="8" w:space="0" w:color="auto"/>
              <w:right w:val="single" w:sz="8" w:space="0" w:color="auto"/>
            </w:tcBorders>
            <w:shd w:val="clear" w:color="auto" w:fill="auto"/>
            <w:vAlign w:val="center"/>
            <w:hideMark/>
          </w:tcPr>
          <w:p w14:paraId="61519055" w14:textId="24C45F1A"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1</w:t>
            </w:r>
            <w:r w:rsidR="00FE44C4">
              <w:rPr>
                <w:rFonts w:eastAsia="Times New Roman" w:cs="Times New Roman"/>
                <w:b/>
                <w:bCs/>
                <w:sz w:val="20"/>
                <w:szCs w:val="20"/>
              </w:rPr>
              <w:t>138</w:t>
            </w:r>
          </w:p>
        </w:tc>
        <w:tc>
          <w:tcPr>
            <w:tcW w:w="900" w:type="dxa"/>
            <w:tcBorders>
              <w:top w:val="nil"/>
              <w:left w:val="nil"/>
              <w:bottom w:val="single" w:sz="8" w:space="0" w:color="auto"/>
              <w:right w:val="single" w:sz="8" w:space="0" w:color="auto"/>
            </w:tcBorders>
            <w:shd w:val="clear" w:color="auto" w:fill="auto"/>
            <w:vAlign w:val="center"/>
            <w:hideMark/>
          </w:tcPr>
          <w:p w14:paraId="111AF2C9" w14:textId="141E76D6"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 N.A.</w:t>
            </w:r>
          </w:p>
        </w:tc>
        <w:tc>
          <w:tcPr>
            <w:tcW w:w="900" w:type="dxa"/>
            <w:tcBorders>
              <w:top w:val="nil"/>
              <w:left w:val="nil"/>
              <w:bottom w:val="single" w:sz="8" w:space="0" w:color="auto"/>
              <w:right w:val="single" w:sz="8" w:space="0" w:color="auto"/>
            </w:tcBorders>
            <w:shd w:val="clear" w:color="auto" w:fill="auto"/>
            <w:vAlign w:val="center"/>
            <w:hideMark/>
          </w:tcPr>
          <w:p w14:paraId="35DA23BE" w14:textId="7B1D31BD"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27</w:t>
            </w:r>
          </w:p>
        </w:tc>
        <w:tc>
          <w:tcPr>
            <w:tcW w:w="900" w:type="dxa"/>
            <w:tcBorders>
              <w:top w:val="nil"/>
              <w:left w:val="nil"/>
              <w:bottom w:val="single" w:sz="8" w:space="0" w:color="auto"/>
              <w:right w:val="single" w:sz="8" w:space="0" w:color="auto"/>
            </w:tcBorders>
            <w:shd w:val="clear" w:color="auto" w:fill="auto"/>
            <w:vAlign w:val="center"/>
            <w:hideMark/>
          </w:tcPr>
          <w:p w14:paraId="0C99EDD8" w14:textId="042046FE"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 </w:t>
            </w:r>
            <w:r w:rsidR="00A0019B">
              <w:rPr>
                <w:rFonts w:eastAsia="Times New Roman" w:cs="Times New Roman"/>
                <w:b/>
                <w:bCs/>
                <w:sz w:val="20"/>
                <w:szCs w:val="20"/>
              </w:rPr>
              <w:t>486</w:t>
            </w:r>
          </w:p>
        </w:tc>
        <w:tc>
          <w:tcPr>
            <w:tcW w:w="990" w:type="dxa"/>
            <w:tcBorders>
              <w:top w:val="nil"/>
              <w:left w:val="nil"/>
              <w:bottom w:val="single" w:sz="8" w:space="0" w:color="auto"/>
              <w:right w:val="single" w:sz="8" w:space="0" w:color="auto"/>
            </w:tcBorders>
            <w:shd w:val="clear" w:color="auto" w:fill="auto"/>
            <w:vAlign w:val="center"/>
            <w:hideMark/>
          </w:tcPr>
          <w:p w14:paraId="0612C14A" w14:textId="1C5EC159" w:rsidR="005B2EC2" w:rsidRPr="002E6BF9" w:rsidRDefault="00FE44C4" w:rsidP="00314BF8">
            <w:pPr>
              <w:spacing w:after="0" w:line="240" w:lineRule="auto"/>
              <w:jc w:val="center"/>
              <w:rPr>
                <w:rFonts w:eastAsia="Times New Roman" w:cs="Times New Roman"/>
                <w:b/>
                <w:bCs/>
                <w:sz w:val="20"/>
                <w:szCs w:val="20"/>
              </w:rPr>
            </w:pPr>
            <w:r>
              <w:rPr>
                <w:rFonts w:eastAsia="Times New Roman" w:cs="Times New Roman"/>
                <w:b/>
                <w:bCs/>
                <w:sz w:val="20"/>
                <w:szCs w:val="20"/>
              </w:rPr>
              <w:t>345</w:t>
            </w:r>
          </w:p>
        </w:tc>
        <w:tc>
          <w:tcPr>
            <w:tcW w:w="810" w:type="dxa"/>
            <w:tcBorders>
              <w:top w:val="nil"/>
              <w:left w:val="nil"/>
              <w:bottom w:val="single" w:sz="8" w:space="0" w:color="auto"/>
              <w:right w:val="single" w:sz="8" w:space="0" w:color="auto"/>
            </w:tcBorders>
            <w:shd w:val="clear" w:color="auto" w:fill="auto"/>
            <w:vAlign w:val="center"/>
            <w:hideMark/>
          </w:tcPr>
          <w:p w14:paraId="188DE916" w14:textId="4C6B35C6"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 20</w:t>
            </w:r>
          </w:p>
        </w:tc>
        <w:tc>
          <w:tcPr>
            <w:tcW w:w="990" w:type="dxa"/>
            <w:tcBorders>
              <w:top w:val="nil"/>
              <w:left w:val="nil"/>
              <w:bottom w:val="single" w:sz="8" w:space="0" w:color="auto"/>
              <w:right w:val="single" w:sz="8" w:space="0" w:color="auto"/>
            </w:tcBorders>
            <w:shd w:val="clear" w:color="auto" w:fill="auto"/>
            <w:vAlign w:val="center"/>
            <w:hideMark/>
          </w:tcPr>
          <w:p w14:paraId="3305A398"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19</w:t>
            </w:r>
          </w:p>
        </w:tc>
        <w:tc>
          <w:tcPr>
            <w:tcW w:w="810" w:type="dxa"/>
            <w:tcBorders>
              <w:top w:val="nil"/>
              <w:left w:val="nil"/>
              <w:bottom w:val="single" w:sz="8" w:space="0" w:color="auto"/>
              <w:right w:val="single" w:sz="8" w:space="0" w:color="auto"/>
            </w:tcBorders>
            <w:shd w:val="clear" w:color="auto" w:fill="auto"/>
            <w:vAlign w:val="center"/>
            <w:hideMark/>
          </w:tcPr>
          <w:p w14:paraId="7A61D50F" w14:textId="54683DD4" w:rsidR="005B2EC2" w:rsidRPr="002E6BF9" w:rsidRDefault="00A0019B" w:rsidP="00314BF8">
            <w:pPr>
              <w:spacing w:after="0" w:line="240" w:lineRule="auto"/>
              <w:jc w:val="center"/>
              <w:rPr>
                <w:rFonts w:eastAsia="Times New Roman" w:cs="Times New Roman"/>
                <w:b/>
                <w:bCs/>
                <w:sz w:val="20"/>
                <w:szCs w:val="20"/>
              </w:rPr>
            </w:pPr>
            <w:r>
              <w:rPr>
                <w:rFonts w:eastAsia="Times New Roman" w:cs="Times New Roman"/>
                <w:b/>
                <w:bCs/>
                <w:sz w:val="20"/>
                <w:szCs w:val="20"/>
              </w:rPr>
              <w:t>1041</w:t>
            </w:r>
          </w:p>
        </w:tc>
        <w:tc>
          <w:tcPr>
            <w:tcW w:w="990" w:type="dxa"/>
            <w:tcBorders>
              <w:top w:val="nil"/>
              <w:left w:val="nil"/>
              <w:bottom w:val="single" w:sz="8" w:space="0" w:color="auto"/>
              <w:right w:val="single" w:sz="8" w:space="0" w:color="auto"/>
            </w:tcBorders>
            <w:shd w:val="clear" w:color="auto" w:fill="auto"/>
            <w:vAlign w:val="center"/>
            <w:hideMark/>
          </w:tcPr>
          <w:p w14:paraId="6C5AB82C" w14:textId="488AA4CC"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954</w:t>
            </w:r>
          </w:p>
        </w:tc>
      </w:tr>
      <w:tr w:rsidR="005B2EC2" w:rsidRPr="00314BF8" w14:paraId="575BD2C2" w14:textId="77777777" w:rsidTr="000C4744">
        <w:trPr>
          <w:divId w:val="791436647"/>
          <w:trHeight w:val="315"/>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6471EADB" w14:textId="77777777" w:rsidR="005B2EC2" w:rsidRPr="00314BF8" w:rsidRDefault="005B2EC2" w:rsidP="00314BF8">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Children</w:t>
            </w:r>
          </w:p>
        </w:tc>
        <w:tc>
          <w:tcPr>
            <w:tcW w:w="810" w:type="dxa"/>
            <w:tcBorders>
              <w:top w:val="nil"/>
              <w:left w:val="nil"/>
              <w:bottom w:val="single" w:sz="8" w:space="0" w:color="auto"/>
              <w:right w:val="single" w:sz="8" w:space="0" w:color="auto"/>
            </w:tcBorders>
            <w:shd w:val="clear" w:color="auto" w:fill="auto"/>
            <w:vAlign w:val="center"/>
            <w:hideMark/>
          </w:tcPr>
          <w:p w14:paraId="014BADED" w14:textId="5857B074" w:rsidR="005B2EC2" w:rsidRPr="00314BF8" w:rsidRDefault="005B2EC2" w:rsidP="00314BF8">
            <w:pPr>
              <w:spacing w:after="0" w:line="240" w:lineRule="auto"/>
              <w:jc w:val="center"/>
              <w:rPr>
                <w:rFonts w:eastAsia="Times New Roman" w:cs="Times New Roman"/>
                <w:b/>
                <w:bCs/>
                <w:color w:val="000000"/>
                <w:sz w:val="20"/>
                <w:szCs w:val="20"/>
              </w:rPr>
            </w:pPr>
            <w:r w:rsidRPr="00314BF8">
              <w:rPr>
                <w:rFonts w:eastAsia="Times New Roman" w:cs="Times New Roman"/>
                <w:b/>
                <w:bCs/>
                <w:color w:val="000000"/>
                <w:sz w:val="20"/>
                <w:szCs w:val="20"/>
              </w:rPr>
              <w:t> </w:t>
            </w:r>
            <w:r>
              <w:rPr>
                <w:rFonts w:eastAsia="Times New Roman" w:cs="Times New Roman"/>
                <w:b/>
                <w:bCs/>
                <w:color w:val="000000"/>
                <w:sz w:val="20"/>
                <w:szCs w:val="20"/>
              </w:rPr>
              <w:t>292</w:t>
            </w:r>
          </w:p>
        </w:tc>
        <w:tc>
          <w:tcPr>
            <w:tcW w:w="990" w:type="dxa"/>
            <w:tcBorders>
              <w:top w:val="nil"/>
              <w:left w:val="nil"/>
              <w:bottom w:val="single" w:sz="8" w:space="0" w:color="auto"/>
              <w:right w:val="single" w:sz="8" w:space="0" w:color="auto"/>
            </w:tcBorders>
            <w:shd w:val="clear" w:color="auto" w:fill="auto"/>
            <w:vAlign w:val="center"/>
            <w:hideMark/>
          </w:tcPr>
          <w:p w14:paraId="1A4AE533" w14:textId="4CA68EEA"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278</w:t>
            </w:r>
          </w:p>
        </w:tc>
        <w:tc>
          <w:tcPr>
            <w:tcW w:w="900" w:type="dxa"/>
            <w:tcBorders>
              <w:top w:val="nil"/>
              <w:left w:val="nil"/>
              <w:bottom w:val="single" w:sz="8" w:space="0" w:color="auto"/>
              <w:right w:val="single" w:sz="8" w:space="0" w:color="auto"/>
            </w:tcBorders>
            <w:shd w:val="clear" w:color="auto" w:fill="auto"/>
            <w:vAlign w:val="center"/>
            <w:hideMark/>
          </w:tcPr>
          <w:p w14:paraId="46478B7A" w14:textId="7F4EFBCA"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 N.A.</w:t>
            </w:r>
          </w:p>
        </w:tc>
        <w:tc>
          <w:tcPr>
            <w:tcW w:w="900" w:type="dxa"/>
            <w:tcBorders>
              <w:top w:val="nil"/>
              <w:left w:val="nil"/>
              <w:bottom w:val="single" w:sz="8" w:space="0" w:color="auto"/>
              <w:right w:val="single" w:sz="8" w:space="0" w:color="auto"/>
            </w:tcBorders>
            <w:shd w:val="clear" w:color="auto" w:fill="auto"/>
            <w:vAlign w:val="center"/>
            <w:hideMark/>
          </w:tcPr>
          <w:p w14:paraId="47F7820D" w14:textId="5F86C946"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48</w:t>
            </w:r>
          </w:p>
        </w:tc>
        <w:tc>
          <w:tcPr>
            <w:tcW w:w="900" w:type="dxa"/>
            <w:tcBorders>
              <w:top w:val="nil"/>
              <w:left w:val="nil"/>
              <w:bottom w:val="single" w:sz="8" w:space="0" w:color="auto"/>
              <w:right w:val="single" w:sz="8" w:space="0" w:color="auto"/>
            </w:tcBorders>
            <w:shd w:val="clear" w:color="auto" w:fill="auto"/>
            <w:vAlign w:val="center"/>
            <w:hideMark/>
          </w:tcPr>
          <w:p w14:paraId="7D45074F" w14:textId="4F43F36C" w:rsidR="005B2EC2" w:rsidRPr="002E6BF9" w:rsidRDefault="00A0019B" w:rsidP="00314BF8">
            <w:pPr>
              <w:spacing w:after="0" w:line="240" w:lineRule="auto"/>
              <w:jc w:val="center"/>
              <w:rPr>
                <w:rFonts w:eastAsia="Times New Roman" w:cs="Times New Roman"/>
                <w:b/>
                <w:bCs/>
                <w:sz w:val="20"/>
                <w:szCs w:val="20"/>
              </w:rPr>
            </w:pPr>
            <w:r>
              <w:rPr>
                <w:rFonts w:eastAsia="Times New Roman" w:cs="Times New Roman"/>
                <w:b/>
                <w:bCs/>
                <w:sz w:val="20"/>
                <w:szCs w:val="20"/>
              </w:rPr>
              <w:t> 462</w:t>
            </w:r>
          </w:p>
        </w:tc>
        <w:tc>
          <w:tcPr>
            <w:tcW w:w="990" w:type="dxa"/>
            <w:tcBorders>
              <w:top w:val="nil"/>
              <w:left w:val="nil"/>
              <w:bottom w:val="single" w:sz="8" w:space="0" w:color="auto"/>
              <w:right w:val="single" w:sz="8" w:space="0" w:color="auto"/>
            </w:tcBorders>
            <w:shd w:val="clear" w:color="auto" w:fill="auto"/>
            <w:vAlign w:val="center"/>
            <w:hideMark/>
          </w:tcPr>
          <w:p w14:paraId="2B0F26D8" w14:textId="28B0C365"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357</w:t>
            </w:r>
          </w:p>
        </w:tc>
        <w:tc>
          <w:tcPr>
            <w:tcW w:w="810" w:type="dxa"/>
            <w:tcBorders>
              <w:top w:val="nil"/>
              <w:left w:val="nil"/>
              <w:bottom w:val="single" w:sz="8" w:space="0" w:color="auto"/>
              <w:right w:val="single" w:sz="8" w:space="0" w:color="auto"/>
            </w:tcBorders>
            <w:shd w:val="clear" w:color="auto" w:fill="auto"/>
            <w:vAlign w:val="center"/>
            <w:hideMark/>
          </w:tcPr>
          <w:p w14:paraId="7F51FE70" w14:textId="47FACD70"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0 </w:t>
            </w:r>
          </w:p>
        </w:tc>
        <w:tc>
          <w:tcPr>
            <w:tcW w:w="990" w:type="dxa"/>
            <w:tcBorders>
              <w:top w:val="nil"/>
              <w:left w:val="nil"/>
              <w:bottom w:val="single" w:sz="8" w:space="0" w:color="auto"/>
              <w:right w:val="single" w:sz="8" w:space="0" w:color="auto"/>
            </w:tcBorders>
            <w:shd w:val="clear" w:color="auto" w:fill="auto"/>
            <w:vAlign w:val="center"/>
            <w:hideMark/>
          </w:tcPr>
          <w:p w14:paraId="60F36574"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0</w:t>
            </w:r>
          </w:p>
        </w:tc>
        <w:tc>
          <w:tcPr>
            <w:tcW w:w="810" w:type="dxa"/>
            <w:tcBorders>
              <w:top w:val="nil"/>
              <w:left w:val="nil"/>
              <w:bottom w:val="single" w:sz="8" w:space="0" w:color="auto"/>
              <w:right w:val="single" w:sz="8" w:space="0" w:color="auto"/>
            </w:tcBorders>
            <w:shd w:val="clear" w:color="auto" w:fill="auto"/>
            <w:vAlign w:val="center"/>
            <w:hideMark/>
          </w:tcPr>
          <w:p w14:paraId="74880DB8" w14:textId="58E2E0C8" w:rsidR="005B2EC2" w:rsidRPr="002E6BF9" w:rsidRDefault="00A0019B" w:rsidP="00314BF8">
            <w:pPr>
              <w:spacing w:after="0" w:line="240" w:lineRule="auto"/>
              <w:jc w:val="center"/>
              <w:rPr>
                <w:rFonts w:eastAsia="Times New Roman" w:cs="Times New Roman"/>
                <w:b/>
                <w:bCs/>
                <w:sz w:val="20"/>
                <w:szCs w:val="20"/>
              </w:rPr>
            </w:pPr>
            <w:r>
              <w:rPr>
                <w:rFonts w:eastAsia="Times New Roman" w:cs="Times New Roman"/>
                <w:b/>
                <w:bCs/>
                <w:sz w:val="20"/>
                <w:szCs w:val="20"/>
              </w:rPr>
              <w:t>232</w:t>
            </w:r>
          </w:p>
        </w:tc>
        <w:tc>
          <w:tcPr>
            <w:tcW w:w="990" w:type="dxa"/>
            <w:tcBorders>
              <w:top w:val="nil"/>
              <w:left w:val="nil"/>
              <w:bottom w:val="single" w:sz="8" w:space="0" w:color="auto"/>
              <w:right w:val="single" w:sz="8" w:space="0" w:color="auto"/>
            </w:tcBorders>
            <w:shd w:val="clear" w:color="auto" w:fill="auto"/>
            <w:vAlign w:val="center"/>
            <w:hideMark/>
          </w:tcPr>
          <w:p w14:paraId="22FAAF3F" w14:textId="18F5B15F"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213</w:t>
            </w:r>
          </w:p>
        </w:tc>
      </w:tr>
      <w:tr w:rsidR="005B2EC2" w:rsidRPr="00314BF8" w14:paraId="17324D8C" w14:textId="77777777" w:rsidTr="0059793F">
        <w:trPr>
          <w:divId w:val="791436647"/>
          <w:trHeight w:val="315"/>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78B133B1" w14:textId="77777777" w:rsidR="005B2EC2" w:rsidRPr="00314BF8" w:rsidRDefault="005B2EC2" w:rsidP="00314BF8">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Chronic Homeless</w:t>
            </w:r>
          </w:p>
        </w:tc>
        <w:tc>
          <w:tcPr>
            <w:tcW w:w="810" w:type="dxa"/>
            <w:tcBorders>
              <w:top w:val="nil"/>
              <w:left w:val="nil"/>
              <w:bottom w:val="single" w:sz="8" w:space="0" w:color="auto"/>
              <w:right w:val="single" w:sz="8" w:space="0" w:color="auto"/>
            </w:tcBorders>
            <w:shd w:val="clear" w:color="auto" w:fill="auto"/>
            <w:vAlign w:val="center"/>
          </w:tcPr>
          <w:p w14:paraId="4118F7A0" w14:textId="501B55ED" w:rsidR="005B2EC2" w:rsidRPr="00314BF8" w:rsidRDefault="0059793F" w:rsidP="00314BF8">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0</w:t>
            </w:r>
          </w:p>
        </w:tc>
        <w:tc>
          <w:tcPr>
            <w:tcW w:w="990" w:type="dxa"/>
            <w:tcBorders>
              <w:top w:val="nil"/>
              <w:left w:val="nil"/>
              <w:bottom w:val="single" w:sz="8" w:space="0" w:color="auto"/>
              <w:right w:val="single" w:sz="8" w:space="0" w:color="auto"/>
            </w:tcBorders>
            <w:shd w:val="clear" w:color="auto" w:fill="auto"/>
            <w:vAlign w:val="center"/>
          </w:tcPr>
          <w:p w14:paraId="41697BF5" w14:textId="43BC3396" w:rsidR="005B2EC2" w:rsidRPr="002E6BF9" w:rsidRDefault="0059793F" w:rsidP="00FD242B">
            <w:pPr>
              <w:spacing w:after="0" w:line="240" w:lineRule="auto"/>
              <w:jc w:val="center"/>
              <w:rPr>
                <w:rFonts w:eastAsia="Times New Roman" w:cs="Times New Roman"/>
                <w:b/>
                <w:bCs/>
                <w:sz w:val="20"/>
                <w:szCs w:val="20"/>
              </w:rPr>
            </w:pPr>
            <w:r>
              <w:rPr>
                <w:rFonts w:eastAsia="Times New Roman" w:cs="Times New Roman"/>
                <w:b/>
                <w:bCs/>
                <w:sz w:val="20"/>
                <w:szCs w:val="20"/>
              </w:rPr>
              <w:t>0</w:t>
            </w:r>
          </w:p>
        </w:tc>
        <w:tc>
          <w:tcPr>
            <w:tcW w:w="900" w:type="dxa"/>
            <w:tcBorders>
              <w:top w:val="nil"/>
              <w:left w:val="nil"/>
              <w:bottom w:val="single" w:sz="8" w:space="0" w:color="auto"/>
              <w:right w:val="single" w:sz="8" w:space="0" w:color="auto"/>
            </w:tcBorders>
            <w:shd w:val="clear" w:color="auto" w:fill="auto"/>
            <w:vAlign w:val="center"/>
          </w:tcPr>
          <w:p w14:paraId="06C535F5" w14:textId="22DB3F62" w:rsidR="005B2EC2" w:rsidRPr="002E6BF9" w:rsidRDefault="0059793F"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 N.A.</w:t>
            </w:r>
          </w:p>
        </w:tc>
        <w:tc>
          <w:tcPr>
            <w:tcW w:w="900" w:type="dxa"/>
            <w:tcBorders>
              <w:top w:val="nil"/>
              <w:left w:val="nil"/>
              <w:bottom w:val="single" w:sz="8" w:space="0" w:color="auto"/>
              <w:right w:val="single" w:sz="8" w:space="0" w:color="auto"/>
            </w:tcBorders>
            <w:shd w:val="clear" w:color="auto" w:fill="auto"/>
            <w:vAlign w:val="center"/>
          </w:tcPr>
          <w:p w14:paraId="44AF8BE6" w14:textId="2613D26B" w:rsidR="005B2EC2" w:rsidRPr="002E6BF9" w:rsidRDefault="0059793F" w:rsidP="00314BF8">
            <w:pPr>
              <w:spacing w:after="0" w:line="240" w:lineRule="auto"/>
              <w:jc w:val="center"/>
              <w:rPr>
                <w:rFonts w:eastAsia="Times New Roman" w:cs="Times New Roman"/>
                <w:b/>
                <w:bCs/>
                <w:sz w:val="20"/>
                <w:szCs w:val="20"/>
              </w:rPr>
            </w:pPr>
            <w:r>
              <w:rPr>
                <w:rFonts w:eastAsia="Times New Roman" w:cs="Times New Roman"/>
                <w:b/>
                <w:bCs/>
                <w:sz w:val="20"/>
                <w:szCs w:val="20"/>
              </w:rPr>
              <w:t>0</w:t>
            </w:r>
          </w:p>
        </w:tc>
        <w:tc>
          <w:tcPr>
            <w:tcW w:w="900" w:type="dxa"/>
            <w:tcBorders>
              <w:top w:val="nil"/>
              <w:left w:val="nil"/>
              <w:bottom w:val="single" w:sz="8" w:space="0" w:color="auto"/>
              <w:right w:val="single" w:sz="8" w:space="0" w:color="auto"/>
            </w:tcBorders>
            <w:shd w:val="clear" w:color="auto" w:fill="auto"/>
            <w:vAlign w:val="center"/>
          </w:tcPr>
          <w:p w14:paraId="1D96E00E" w14:textId="617C0CF0" w:rsidR="005B2EC2" w:rsidRPr="002E6BF9" w:rsidRDefault="0059793F" w:rsidP="00314BF8">
            <w:pPr>
              <w:spacing w:after="0" w:line="240" w:lineRule="auto"/>
              <w:jc w:val="center"/>
              <w:rPr>
                <w:rFonts w:eastAsia="Times New Roman" w:cs="Times New Roman"/>
                <w:b/>
                <w:bCs/>
                <w:sz w:val="20"/>
                <w:szCs w:val="20"/>
              </w:rPr>
            </w:pPr>
            <w:r>
              <w:rPr>
                <w:rFonts w:eastAsia="Times New Roman" w:cs="Times New Roman"/>
                <w:b/>
                <w:bCs/>
                <w:sz w:val="20"/>
                <w:szCs w:val="20"/>
              </w:rPr>
              <w:t>0</w:t>
            </w:r>
          </w:p>
        </w:tc>
        <w:tc>
          <w:tcPr>
            <w:tcW w:w="990" w:type="dxa"/>
            <w:tcBorders>
              <w:top w:val="nil"/>
              <w:left w:val="nil"/>
              <w:bottom w:val="single" w:sz="8" w:space="0" w:color="auto"/>
              <w:right w:val="single" w:sz="8" w:space="0" w:color="auto"/>
            </w:tcBorders>
            <w:shd w:val="clear" w:color="auto" w:fill="auto"/>
            <w:vAlign w:val="center"/>
          </w:tcPr>
          <w:p w14:paraId="64F03052" w14:textId="31EF95A5" w:rsidR="005B2EC2" w:rsidRPr="002E6BF9" w:rsidRDefault="00A0019B" w:rsidP="00314BF8">
            <w:pPr>
              <w:spacing w:after="0" w:line="240" w:lineRule="auto"/>
              <w:jc w:val="center"/>
              <w:rPr>
                <w:rFonts w:eastAsia="Times New Roman" w:cs="Times New Roman"/>
                <w:b/>
                <w:bCs/>
                <w:sz w:val="20"/>
                <w:szCs w:val="20"/>
              </w:rPr>
            </w:pPr>
            <w:r>
              <w:rPr>
                <w:rFonts w:eastAsia="Times New Roman" w:cs="Times New Roman"/>
                <w:b/>
                <w:bCs/>
                <w:sz w:val="20"/>
                <w:szCs w:val="20"/>
              </w:rPr>
              <w:t>0</w:t>
            </w:r>
          </w:p>
        </w:tc>
        <w:tc>
          <w:tcPr>
            <w:tcW w:w="810" w:type="dxa"/>
            <w:tcBorders>
              <w:top w:val="nil"/>
              <w:left w:val="nil"/>
              <w:bottom w:val="single" w:sz="8" w:space="0" w:color="auto"/>
              <w:right w:val="single" w:sz="8" w:space="0" w:color="auto"/>
            </w:tcBorders>
            <w:shd w:val="clear" w:color="auto" w:fill="auto"/>
            <w:vAlign w:val="center"/>
            <w:hideMark/>
          </w:tcPr>
          <w:p w14:paraId="6D7AAFF3" w14:textId="4F4CB2AF"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1</w:t>
            </w:r>
            <w:r w:rsidR="00A0019B">
              <w:rPr>
                <w:rFonts w:eastAsia="Times New Roman" w:cs="Times New Roman"/>
                <w:b/>
                <w:bCs/>
                <w:sz w:val="20"/>
                <w:szCs w:val="20"/>
              </w:rPr>
              <w:t>0</w:t>
            </w:r>
            <w:r w:rsidRPr="002E6BF9">
              <w:rPr>
                <w:rFonts w:eastAsia="Times New Roman" w:cs="Times New Roman"/>
                <w:b/>
                <w:bCs/>
                <w:sz w:val="20"/>
                <w:szCs w:val="20"/>
              </w:rPr>
              <w:t> </w:t>
            </w:r>
          </w:p>
        </w:tc>
        <w:tc>
          <w:tcPr>
            <w:tcW w:w="990" w:type="dxa"/>
            <w:tcBorders>
              <w:top w:val="nil"/>
              <w:left w:val="nil"/>
              <w:bottom w:val="single" w:sz="8" w:space="0" w:color="auto"/>
              <w:right w:val="single" w:sz="8" w:space="0" w:color="auto"/>
            </w:tcBorders>
            <w:shd w:val="clear" w:color="auto" w:fill="auto"/>
            <w:vAlign w:val="center"/>
            <w:hideMark/>
          </w:tcPr>
          <w:p w14:paraId="6827ADF4"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0</w:t>
            </w:r>
          </w:p>
        </w:tc>
        <w:tc>
          <w:tcPr>
            <w:tcW w:w="810" w:type="dxa"/>
            <w:tcBorders>
              <w:top w:val="nil"/>
              <w:left w:val="nil"/>
              <w:bottom w:val="single" w:sz="8" w:space="0" w:color="auto"/>
              <w:right w:val="single" w:sz="8" w:space="0" w:color="auto"/>
            </w:tcBorders>
            <w:shd w:val="clear" w:color="auto" w:fill="auto"/>
            <w:vAlign w:val="center"/>
            <w:hideMark/>
          </w:tcPr>
          <w:p w14:paraId="55495264" w14:textId="6D3013DD" w:rsidR="005B2EC2" w:rsidRPr="002E6BF9" w:rsidRDefault="00A0019B" w:rsidP="00314BF8">
            <w:pPr>
              <w:spacing w:after="0" w:line="240" w:lineRule="auto"/>
              <w:jc w:val="center"/>
              <w:rPr>
                <w:rFonts w:eastAsia="Times New Roman" w:cs="Times New Roman"/>
                <w:b/>
                <w:bCs/>
                <w:sz w:val="20"/>
                <w:szCs w:val="20"/>
              </w:rPr>
            </w:pPr>
            <w:r>
              <w:rPr>
                <w:rFonts w:eastAsia="Times New Roman" w:cs="Times New Roman"/>
                <w:b/>
                <w:bCs/>
                <w:sz w:val="20"/>
                <w:szCs w:val="20"/>
              </w:rPr>
              <w:t> 267</w:t>
            </w:r>
          </w:p>
        </w:tc>
        <w:tc>
          <w:tcPr>
            <w:tcW w:w="990" w:type="dxa"/>
            <w:tcBorders>
              <w:top w:val="nil"/>
              <w:left w:val="nil"/>
              <w:bottom w:val="single" w:sz="8" w:space="0" w:color="auto"/>
              <w:right w:val="single" w:sz="8" w:space="0" w:color="auto"/>
            </w:tcBorders>
            <w:shd w:val="clear" w:color="auto" w:fill="auto"/>
            <w:vAlign w:val="center"/>
            <w:hideMark/>
          </w:tcPr>
          <w:p w14:paraId="5BADA7B0" w14:textId="4A062A39" w:rsidR="005B2EC2" w:rsidRPr="002E6BF9" w:rsidRDefault="005B2EC2" w:rsidP="00314BF8">
            <w:pPr>
              <w:spacing w:after="0" w:line="240" w:lineRule="auto"/>
              <w:jc w:val="center"/>
              <w:rPr>
                <w:rFonts w:eastAsia="Times New Roman" w:cs="Times New Roman"/>
                <w:b/>
                <w:bCs/>
                <w:sz w:val="20"/>
                <w:szCs w:val="20"/>
              </w:rPr>
            </w:pPr>
            <w:r>
              <w:rPr>
                <w:rFonts w:eastAsia="Times New Roman" w:cs="Times New Roman"/>
                <w:b/>
                <w:bCs/>
                <w:sz w:val="20"/>
                <w:szCs w:val="20"/>
              </w:rPr>
              <w:t>138</w:t>
            </w:r>
          </w:p>
        </w:tc>
      </w:tr>
      <w:tr w:rsidR="005B2EC2" w:rsidRPr="00314BF8" w14:paraId="5FEEFFA0" w14:textId="77777777" w:rsidTr="000C4744">
        <w:trPr>
          <w:divId w:val="791436647"/>
          <w:trHeight w:val="315"/>
        </w:trPr>
        <w:tc>
          <w:tcPr>
            <w:tcW w:w="1530" w:type="dxa"/>
            <w:tcBorders>
              <w:top w:val="nil"/>
              <w:left w:val="single" w:sz="8" w:space="0" w:color="auto"/>
              <w:bottom w:val="single" w:sz="4" w:space="0" w:color="auto"/>
              <w:right w:val="single" w:sz="8" w:space="0" w:color="auto"/>
            </w:tcBorders>
            <w:shd w:val="clear" w:color="000000" w:fill="D9D9D9"/>
            <w:vAlign w:val="center"/>
            <w:hideMark/>
          </w:tcPr>
          <w:p w14:paraId="7FD5C441" w14:textId="77777777" w:rsidR="005B2EC2" w:rsidRPr="00314BF8" w:rsidRDefault="005B2EC2" w:rsidP="00314BF8">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Veterans</w:t>
            </w:r>
          </w:p>
        </w:tc>
        <w:tc>
          <w:tcPr>
            <w:tcW w:w="810" w:type="dxa"/>
            <w:tcBorders>
              <w:top w:val="nil"/>
              <w:left w:val="nil"/>
              <w:bottom w:val="single" w:sz="4" w:space="0" w:color="auto"/>
              <w:right w:val="single" w:sz="8" w:space="0" w:color="auto"/>
            </w:tcBorders>
            <w:shd w:val="clear" w:color="auto" w:fill="auto"/>
            <w:vAlign w:val="center"/>
            <w:hideMark/>
          </w:tcPr>
          <w:p w14:paraId="46D6EDFF" w14:textId="5987E465" w:rsidR="005B2EC2" w:rsidRPr="00314BF8" w:rsidRDefault="005B2EC2" w:rsidP="00314BF8">
            <w:pPr>
              <w:spacing w:after="0" w:line="240" w:lineRule="auto"/>
              <w:jc w:val="center"/>
              <w:rPr>
                <w:rFonts w:eastAsia="Times New Roman" w:cs="Times New Roman"/>
                <w:b/>
                <w:bCs/>
                <w:color w:val="000000"/>
                <w:sz w:val="20"/>
                <w:szCs w:val="20"/>
              </w:rPr>
            </w:pPr>
            <w:r w:rsidRPr="00314BF8">
              <w:rPr>
                <w:rFonts w:eastAsia="Times New Roman" w:cs="Times New Roman"/>
                <w:b/>
                <w:bCs/>
                <w:color w:val="000000"/>
                <w:sz w:val="20"/>
                <w:szCs w:val="20"/>
              </w:rPr>
              <w:t> </w:t>
            </w:r>
            <w:r>
              <w:rPr>
                <w:rFonts w:eastAsia="Times New Roman" w:cs="Times New Roman"/>
                <w:b/>
                <w:bCs/>
                <w:color w:val="000000"/>
                <w:sz w:val="20"/>
                <w:szCs w:val="20"/>
              </w:rPr>
              <w:t>70</w:t>
            </w:r>
          </w:p>
        </w:tc>
        <w:tc>
          <w:tcPr>
            <w:tcW w:w="990" w:type="dxa"/>
            <w:tcBorders>
              <w:top w:val="nil"/>
              <w:left w:val="nil"/>
              <w:bottom w:val="single" w:sz="4" w:space="0" w:color="auto"/>
              <w:right w:val="single" w:sz="8" w:space="0" w:color="auto"/>
            </w:tcBorders>
            <w:shd w:val="clear" w:color="auto" w:fill="auto"/>
            <w:vAlign w:val="center"/>
            <w:hideMark/>
          </w:tcPr>
          <w:p w14:paraId="2D079E8D" w14:textId="4359A30E"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77</w:t>
            </w:r>
          </w:p>
        </w:tc>
        <w:tc>
          <w:tcPr>
            <w:tcW w:w="900" w:type="dxa"/>
            <w:tcBorders>
              <w:top w:val="nil"/>
              <w:left w:val="nil"/>
              <w:bottom w:val="single" w:sz="4" w:space="0" w:color="auto"/>
              <w:right w:val="single" w:sz="8" w:space="0" w:color="auto"/>
            </w:tcBorders>
            <w:shd w:val="clear" w:color="auto" w:fill="auto"/>
            <w:vAlign w:val="center"/>
            <w:hideMark/>
          </w:tcPr>
          <w:p w14:paraId="185A4258" w14:textId="09EE4B85"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 N.A.</w:t>
            </w:r>
          </w:p>
        </w:tc>
        <w:tc>
          <w:tcPr>
            <w:tcW w:w="900" w:type="dxa"/>
            <w:tcBorders>
              <w:top w:val="nil"/>
              <w:left w:val="nil"/>
              <w:bottom w:val="single" w:sz="4" w:space="0" w:color="auto"/>
              <w:right w:val="single" w:sz="8" w:space="0" w:color="auto"/>
            </w:tcBorders>
            <w:shd w:val="clear" w:color="auto" w:fill="auto"/>
            <w:vAlign w:val="center"/>
            <w:hideMark/>
          </w:tcPr>
          <w:p w14:paraId="4C9DFB44"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0</w:t>
            </w:r>
          </w:p>
        </w:tc>
        <w:tc>
          <w:tcPr>
            <w:tcW w:w="900" w:type="dxa"/>
            <w:tcBorders>
              <w:top w:val="nil"/>
              <w:left w:val="nil"/>
              <w:bottom w:val="single" w:sz="4" w:space="0" w:color="auto"/>
              <w:right w:val="single" w:sz="8" w:space="0" w:color="auto"/>
            </w:tcBorders>
            <w:shd w:val="clear" w:color="auto" w:fill="auto"/>
            <w:vAlign w:val="center"/>
            <w:hideMark/>
          </w:tcPr>
          <w:p w14:paraId="63BD2DC7" w14:textId="5EB5AB74"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 110</w:t>
            </w:r>
          </w:p>
        </w:tc>
        <w:tc>
          <w:tcPr>
            <w:tcW w:w="990" w:type="dxa"/>
            <w:tcBorders>
              <w:top w:val="nil"/>
              <w:left w:val="nil"/>
              <w:bottom w:val="single" w:sz="4" w:space="0" w:color="auto"/>
              <w:right w:val="single" w:sz="8" w:space="0" w:color="auto"/>
            </w:tcBorders>
            <w:shd w:val="clear" w:color="auto" w:fill="auto"/>
            <w:vAlign w:val="center"/>
            <w:hideMark/>
          </w:tcPr>
          <w:p w14:paraId="5D68692D" w14:textId="6E20C779" w:rsidR="005B2EC2" w:rsidRPr="002E6BF9" w:rsidRDefault="005B2EC2" w:rsidP="00314BF8">
            <w:pPr>
              <w:spacing w:after="0" w:line="240" w:lineRule="auto"/>
              <w:jc w:val="center"/>
              <w:rPr>
                <w:rFonts w:eastAsia="Times New Roman" w:cs="Times New Roman"/>
                <w:b/>
                <w:bCs/>
                <w:sz w:val="20"/>
                <w:szCs w:val="20"/>
              </w:rPr>
            </w:pPr>
            <w:r>
              <w:rPr>
                <w:rFonts w:eastAsia="Times New Roman" w:cs="Times New Roman"/>
                <w:b/>
                <w:bCs/>
                <w:sz w:val="20"/>
                <w:szCs w:val="20"/>
              </w:rPr>
              <w:t>97</w:t>
            </w:r>
          </w:p>
        </w:tc>
        <w:tc>
          <w:tcPr>
            <w:tcW w:w="810" w:type="dxa"/>
            <w:tcBorders>
              <w:top w:val="nil"/>
              <w:left w:val="nil"/>
              <w:bottom w:val="single" w:sz="4" w:space="0" w:color="auto"/>
              <w:right w:val="single" w:sz="8" w:space="0" w:color="auto"/>
            </w:tcBorders>
            <w:shd w:val="clear" w:color="auto" w:fill="auto"/>
            <w:vAlign w:val="center"/>
            <w:hideMark/>
          </w:tcPr>
          <w:p w14:paraId="0997C37C" w14:textId="4C6FB1F3"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 1</w:t>
            </w:r>
            <w:r w:rsidR="00A0019B">
              <w:rPr>
                <w:rFonts w:eastAsia="Times New Roman" w:cs="Times New Roman"/>
                <w:b/>
                <w:bCs/>
                <w:sz w:val="20"/>
                <w:szCs w:val="20"/>
              </w:rPr>
              <w:t>0</w:t>
            </w:r>
          </w:p>
        </w:tc>
        <w:tc>
          <w:tcPr>
            <w:tcW w:w="990" w:type="dxa"/>
            <w:tcBorders>
              <w:top w:val="nil"/>
              <w:left w:val="nil"/>
              <w:bottom w:val="single" w:sz="4" w:space="0" w:color="auto"/>
              <w:right w:val="single" w:sz="8" w:space="0" w:color="auto"/>
            </w:tcBorders>
            <w:shd w:val="clear" w:color="auto" w:fill="auto"/>
            <w:vAlign w:val="center"/>
            <w:hideMark/>
          </w:tcPr>
          <w:p w14:paraId="2A8F4661"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1</w:t>
            </w:r>
          </w:p>
        </w:tc>
        <w:tc>
          <w:tcPr>
            <w:tcW w:w="810" w:type="dxa"/>
            <w:tcBorders>
              <w:top w:val="nil"/>
              <w:left w:val="nil"/>
              <w:bottom w:val="single" w:sz="4" w:space="0" w:color="auto"/>
              <w:right w:val="single" w:sz="8" w:space="0" w:color="auto"/>
            </w:tcBorders>
            <w:shd w:val="clear" w:color="auto" w:fill="auto"/>
            <w:vAlign w:val="center"/>
            <w:hideMark/>
          </w:tcPr>
          <w:p w14:paraId="558BBE92" w14:textId="1689271E" w:rsidR="005B2EC2" w:rsidRPr="002E6BF9" w:rsidRDefault="00A0019B" w:rsidP="00314BF8">
            <w:pPr>
              <w:spacing w:after="0" w:line="240" w:lineRule="auto"/>
              <w:jc w:val="center"/>
              <w:rPr>
                <w:rFonts w:eastAsia="Times New Roman" w:cs="Times New Roman"/>
                <w:b/>
                <w:bCs/>
                <w:sz w:val="20"/>
                <w:szCs w:val="20"/>
              </w:rPr>
            </w:pPr>
            <w:r>
              <w:rPr>
                <w:rFonts w:eastAsia="Times New Roman" w:cs="Times New Roman"/>
                <w:b/>
                <w:bCs/>
                <w:sz w:val="20"/>
                <w:szCs w:val="20"/>
              </w:rPr>
              <w:t>105</w:t>
            </w:r>
            <w:r w:rsidR="005B2EC2" w:rsidRPr="002E6BF9">
              <w:rPr>
                <w:rFonts w:eastAsia="Times New Roman" w:cs="Times New Roman"/>
                <w:b/>
                <w:bCs/>
                <w:sz w:val="20"/>
                <w:szCs w:val="20"/>
              </w:rPr>
              <w:t> </w:t>
            </w:r>
          </w:p>
        </w:tc>
        <w:tc>
          <w:tcPr>
            <w:tcW w:w="990" w:type="dxa"/>
            <w:tcBorders>
              <w:top w:val="nil"/>
              <w:left w:val="nil"/>
              <w:bottom w:val="single" w:sz="4" w:space="0" w:color="auto"/>
              <w:right w:val="single" w:sz="8" w:space="0" w:color="auto"/>
            </w:tcBorders>
            <w:shd w:val="clear" w:color="auto" w:fill="auto"/>
            <w:vAlign w:val="center"/>
            <w:hideMark/>
          </w:tcPr>
          <w:p w14:paraId="35F34E96" w14:textId="7777777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61</w:t>
            </w:r>
          </w:p>
        </w:tc>
      </w:tr>
      <w:tr w:rsidR="005B2EC2" w:rsidRPr="00314BF8" w14:paraId="44153131" w14:textId="77777777" w:rsidTr="000C4744">
        <w:trPr>
          <w:divId w:val="791436647"/>
          <w:trHeight w:val="315"/>
        </w:trPr>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14:paraId="01A55F9B" w14:textId="6DC9FD6D" w:rsidR="005B2EC2" w:rsidRPr="00314BF8" w:rsidRDefault="005B2EC2" w:rsidP="000C474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Chronic Homeless </w:t>
            </w:r>
            <w:r w:rsidR="000C4744">
              <w:rPr>
                <w:rFonts w:ascii="Calibri" w:eastAsia="Times New Roman" w:hAnsi="Calibri" w:cs="Times New Roman"/>
                <w:b/>
                <w:bCs/>
                <w:color w:val="000000"/>
              </w:rPr>
              <w:t>V</w:t>
            </w:r>
            <w:r w:rsidR="00B23A47">
              <w:rPr>
                <w:rFonts w:ascii="Calibri" w:eastAsia="Times New Roman" w:hAnsi="Calibri" w:cs="Times New Roman"/>
                <w:b/>
                <w:bCs/>
                <w:color w:val="000000"/>
              </w:rPr>
              <w:t>eterans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515C67" w14:textId="2C257542" w:rsidR="005B2EC2" w:rsidRPr="00314BF8" w:rsidRDefault="0059793F" w:rsidP="00314BF8">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E3108E4" w14:textId="60967275" w:rsidR="005B2EC2" w:rsidRPr="002E6BF9" w:rsidRDefault="0059793F" w:rsidP="00314BF8">
            <w:pPr>
              <w:spacing w:after="0" w:line="240" w:lineRule="auto"/>
              <w:jc w:val="center"/>
              <w:rPr>
                <w:rFonts w:eastAsia="Times New Roman" w:cs="Times New Roman"/>
                <w:b/>
                <w:bCs/>
                <w:sz w:val="20"/>
                <w:szCs w:val="20"/>
              </w:rPr>
            </w:pPr>
            <w:r>
              <w:rPr>
                <w:rFonts w:eastAsia="Times New Roman" w:cs="Times New Roman"/>
                <w:b/>
                <w:bCs/>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2F0C97" w14:textId="6C656C07"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N.A.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27D38E" w14:textId="70469545"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EBE952" w14:textId="4367126C" w:rsidR="005B2EC2" w:rsidRPr="002E6BF9" w:rsidRDefault="0059793F" w:rsidP="00314BF8">
            <w:pPr>
              <w:spacing w:after="0" w:line="240" w:lineRule="auto"/>
              <w:jc w:val="center"/>
              <w:rPr>
                <w:rFonts w:eastAsia="Times New Roman" w:cs="Times New Roman"/>
                <w:b/>
                <w:bCs/>
                <w:sz w:val="20"/>
                <w:szCs w:val="20"/>
              </w:rPr>
            </w:pPr>
            <w:r>
              <w:rPr>
                <w:rFonts w:eastAsia="Times New Roman" w:cs="Times New Roman"/>
                <w:b/>
                <w:bCs/>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05B933" w14:textId="52F62759" w:rsidR="005B2EC2" w:rsidRPr="002E6BF9" w:rsidRDefault="003847EF" w:rsidP="00314BF8">
            <w:pPr>
              <w:spacing w:after="0" w:line="240" w:lineRule="auto"/>
              <w:jc w:val="center"/>
              <w:rPr>
                <w:rFonts w:eastAsia="Times New Roman" w:cs="Times New Roman"/>
                <w:b/>
                <w:bCs/>
                <w:sz w:val="20"/>
                <w:szCs w:val="20"/>
              </w:rPr>
            </w:pPr>
            <w:r>
              <w:rPr>
                <w:rFonts w:eastAsia="Times New Roman" w:cs="Times New Roman"/>
                <w:b/>
                <w:bCs/>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9EAA86" w14:textId="312AA791"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88F895" w14:textId="4BA32904"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B53482" w14:textId="0C6EA476" w:rsidR="005B2EC2" w:rsidRPr="002E6BF9" w:rsidRDefault="00A0019B" w:rsidP="00314BF8">
            <w:pPr>
              <w:spacing w:after="0" w:line="240" w:lineRule="auto"/>
              <w:jc w:val="center"/>
              <w:rPr>
                <w:rFonts w:eastAsia="Times New Roman" w:cs="Times New Roman"/>
                <w:b/>
                <w:bCs/>
                <w:sz w:val="20"/>
                <w:szCs w:val="20"/>
              </w:rPr>
            </w:pPr>
            <w:r>
              <w:rPr>
                <w:rFonts w:eastAsia="Times New Roman" w:cs="Times New Roman"/>
                <w:b/>
                <w:bCs/>
                <w:sz w:val="20"/>
                <w:szCs w:val="20"/>
              </w:rPr>
              <w:t>62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C23412" w14:textId="72D365C3" w:rsidR="005B2EC2" w:rsidRPr="002E6BF9" w:rsidRDefault="005B2EC2" w:rsidP="00314BF8">
            <w:pPr>
              <w:spacing w:after="0" w:line="240" w:lineRule="auto"/>
              <w:jc w:val="center"/>
              <w:rPr>
                <w:rFonts w:eastAsia="Times New Roman" w:cs="Times New Roman"/>
                <w:b/>
                <w:bCs/>
                <w:sz w:val="20"/>
                <w:szCs w:val="20"/>
              </w:rPr>
            </w:pPr>
            <w:r w:rsidRPr="002E6BF9">
              <w:rPr>
                <w:rFonts w:eastAsia="Times New Roman" w:cs="Times New Roman"/>
                <w:b/>
                <w:bCs/>
                <w:sz w:val="20"/>
                <w:szCs w:val="20"/>
              </w:rPr>
              <w:t>11</w:t>
            </w:r>
          </w:p>
        </w:tc>
      </w:tr>
      <w:tr w:rsidR="000C4744" w:rsidRPr="00314BF8" w14:paraId="52D356D2" w14:textId="77777777" w:rsidTr="000C4744">
        <w:trPr>
          <w:divId w:val="791436647"/>
          <w:trHeight w:val="315"/>
        </w:trPr>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14:paraId="228CC1A3" w14:textId="6D30D1B8" w:rsidR="000C4744" w:rsidRDefault="000C4744" w:rsidP="00314BF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Comparison to Benchmark</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71A62" w14:textId="70752530" w:rsidR="000C4744" w:rsidRPr="002E6BF9" w:rsidRDefault="000C4744" w:rsidP="00314BF8">
            <w:pPr>
              <w:spacing w:after="0" w:line="240" w:lineRule="auto"/>
              <w:jc w:val="center"/>
              <w:rPr>
                <w:rFonts w:eastAsia="Times New Roman" w:cs="Times New Roman"/>
                <w:b/>
                <w:bCs/>
                <w:sz w:val="20"/>
                <w:szCs w:val="20"/>
              </w:rPr>
            </w:pPr>
            <w:r>
              <w:rPr>
                <w:rFonts w:eastAsia="Times New Roman" w:cs="Times New Roman"/>
                <w:b/>
                <w:bCs/>
                <w:sz w:val="20"/>
                <w:szCs w:val="20"/>
              </w:rPr>
              <w:t>1% Decrease from January to July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8B266" w14:textId="0634CD4F" w:rsidR="000C4744" w:rsidRPr="002E6BF9" w:rsidRDefault="000C4744" w:rsidP="000C4744">
            <w:pPr>
              <w:spacing w:after="0" w:line="240" w:lineRule="auto"/>
              <w:jc w:val="center"/>
              <w:rPr>
                <w:rFonts w:eastAsia="Times New Roman" w:cs="Times New Roman"/>
                <w:b/>
                <w:bCs/>
                <w:sz w:val="20"/>
                <w:szCs w:val="20"/>
              </w:rPr>
            </w:pPr>
            <w:r>
              <w:rPr>
                <w:rFonts w:eastAsia="Times New Roman" w:cs="Times New Roman"/>
                <w:b/>
                <w:bCs/>
                <w:sz w:val="20"/>
                <w:szCs w:val="20"/>
              </w:rPr>
              <w:t>Programs Too New for Comparison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96218" w14:textId="5FBC8A36" w:rsidR="000C4744" w:rsidRPr="002E6BF9" w:rsidRDefault="00A7600B" w:rsidP="00314BF8">
            <w:pPr>
              <w:spacing w:after="0" w:line="240" w:lineRule="auto"/>
              <w:jc w:val="center"/>
              <w:rPr>
                <w:rFonts w:eastAsia="Times New Roman" w:cs="Times New Roman"/>
                <w:b/>
                <w:bCs/>
                <w:sz w:val="20"/>
                <w:szCs w:val="20"/>
              </w:rPr>
            </w:pPr>
            <w:r>
              <w:rPr>
                <w:rFonts w:eastAsia="Times New Roman" w:cs="Times New Roman"/>
                <w:b/>
                <w:bCs/>
                <w:sz w:val="20"/>
                <w:szCs w:val="20"/>
              </w:rPr>
              <w:t>29</w:t>
            </w:r>
            <w:r w:rsidR="000C4744">
              <w:rPr>
                <w:rFonts w:eastAsia="Times New Roman" w:cs="Times New Roman"/>
                <w:b/>
                <w:bCs/>
                <w:sz w:val="20"/>
                <w:szCs w:val="20"/>
              </w:rPr>
              <w:t>% Decrease from January to July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F4F01" w14:textId="18B996EC" w:rsidR="000C4744" w:rsidRPr="002E6BF9" w:rsidRDefault="000C4744" w:rsidP="00314BF8">
            <w:pPr>
              <w:spacing w:after="0" w:line="240" w:lineRule="auto"/>
              <w:jc w:val="center"/>
              <w:rPr>
                <w:rFonts w:eastAsia="Times New Roman" w:cs="Times New Roman"/>
                <w:b/>
                <w:bCs/>
                <w:sz w:val="20"/>
                <w:szCs w:val="20"/>
              </w:rPr>
            </w:pPr>
            <w:r>
              <w:rPr>
                <w:rFonts w:eastAsia="Times New Roman" w:cs="Times New Roman"/>
                <w:b/>
                <w:bCs/>
                <w:sz w:val="20"/>
                <w:szCs w:val="20"/>
              </w:rPr>
              <w:t>5% Decrease from January to July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B4859" w14:textId="22DFA4A4" w:rsidR="000C4744" w:rsidRPr="002E6BF9" w:rsidRDefault="000C4744" w:rsidP="00314BF8">
            <w:pPr>
              <w:spacing w:after="0" w:line="240" w:lineRule="auto"/>
              <w:jc w:val="center"/>
              <w:rPr>
                <w:rFonts w:eastAsia="Times New Roman" w:cs="Times New Roman"/>
                <w:b/>
                <w:bCs/>
                <w:sz w:val="20"/>
                <w:szCs w:val="20"/>
              </w:rPr>
            </w:pPr>
            <w:r>
              <w:rPr>
                <w:rFonts w:eastAsia="Times New Roman" w:cs="Times New Roman"/>
                <w:b/>
                <w:bCs/>
                <w:sz w:val="20"/>
                <w:szCs w:val="20"/>
              </w:rPr>
              <w:t>8% Decrease from January to July</w:t>
            </w:r>
          </w:p>
        </w:tc>
      </w:tr>
    </w:tbl>
    <w:p w14:paraId="69FEFA21" w14:textId="77777777" w:rsidR="005B2EC2" w:rsidRDefault="005B2EC2" w:rsidP="00B9462A">
      <w:pPr>
        <w:spacing w:after="0" w:line="240" w:lineRule="auto"/>
        <w:rPr>
          <w:b/>
          <w:color w:val="FF0000"/>
        </w:rPr>
      </w:pPr>
    </w:p>
    <w:p w14:paraId="75CEB760" w14:textId="77777777" w:rsidR="005B2EC2" w:rsidRDefault="005B2EC2" w:rsidP="00B9462A">
      <w:pPr>
        <w:spacing w:after="0" w:line="240" w:lineRule="auto"/>
        <w:rPr>
          <w:b/>
          <w:color w:val="FF0000"/>
        </w:rPr>
      </w:pPr>
    </w:p>
    <w:p w14:paraId="3A872D48" w14:textId="77777777" w:rsidR="00A427DA" w:rsidRDefault="00A427DA" w:rsidP="00B9462A">
      <w:pPr>
        <w:spacing w:after="0" w:line="240" w:lineRule="auto"/>
        <w:rPr>
          <w:b/>
          <w:color w:val="FF0000"/>
        </w:rPr>
      </w:pPr>
      <w:r>
        <w:rPr>
          <w:b/>
          <w:color w:val="FF0000"/>
        </w:rPr>
        <w:fldChar w:fldCharType="end"/>
      </w:r>
    </w:p>
    <w:p w14:paraId="0D9CD663" w14:textId="0C18143D" w:rsidR="00807390" w:rsidRDefault="000C4744" w:rsidP="00B9462A">
      <w:pPr>
        <w:spacing w:after="0" w:line="240" w:lineRule="auto"/>
        <w:rPr>
          <w:b/>
          <w:sz w:val="24"/>
          <w:szCs w:val="24"/>
        </w:rPr>
      </w:pPr>
      <w:r>
        <w:rPr>
          <w:b/>
          <w:sz w:val="24"/>
          <w:szCs w:val="24"/>
        </w:rPr>
        <w:lastRenderedPageBreak/>
        <w:t>Ending Chronic,</w:t>
      </w:r>
      <w:r w:rsidR="00807390" w:rsidRPr="00807390">
        <w:rPr>
          <w:b/>
          <w:sz w:val="24"/>
          <w:szCs w:val="24"/>
        </w:rPr>
        <w:t xml:space="preserve"> </w:t>
      </w:r>
      <w:r w:rsidR="001148E6">
        <w:rPr>
          <w:b/>
          <w:sz w:val="24"/>
          <w:szCs w:val="24"/>
        </w:rPr>
        <w:t>Veterans</w:t>
      </w:r>
      <w:r>
        <w:rPr>
          <w:b/>
          <w:sz w:val="24"/>
          <w:szCs w:val="24"/>
        </w:rPr>
        <w:t xml:space="preserve"> and Family</w:t>
      </w:r>
      <w:r w:rsidR="001148E6">
        <w:rPr>
          <w:b/>
          <w:sz w:val="24"/>
          <w:szCs w:val="24"/>
        </w:rPr>
        <w:t xml:space="preserve"> Homeless</w:t>
      </w:r>
      <w:r>
        <w:rPr>
          <w:b/>
          <w:sz w:val="24"/>
          <w:szCs w:val="24"/>
        </w:rPr>
        <w:t>ness</w:t>
      </w:r>
      <w:r w:rsidR="007E273B">
        <w:rPr>
          <w:b/>
          <w:sz w:val="24"/>
          <w:szCs w:val="24"/>
        </w:rPr>
        <w:t xml:space="preserve"> </w:t>
      </w:r>
      <w:r w:rsidR="005001F2">
        <w:rPr>
          <w:b/>
          <w:sz w:val="24"/>
          <w:szCs w:val="24"/>
        </w:rPr>
        <w:t xml:space="preserve">- Includes all </w:t>
      </w:r>
      <w:r>
        <w:rPr>
          <w:b/>
          <w:sz w:val="24"/>
          <w:szCs w:val="24"/>
        </w:rPr>
        <w:t xml:space="preserve">local </w:t>
      </w:r>
      <w:r w:rsidR="005001F2">
        <w:rPr>
          <w:b/>
          <w:sz w:val="24"/>
          <w:szCs w:val="24"/>
        </w:rPr>
        <w:t>homeless service providers</w:t>
      </w:r>
    </w:p>
    <w:p w14:paraId="54D9596C" w14:textId="77777777" w:rsidR="00CA7391" w:rsidRDefault="00CA7391" w:rsidP="00CA7391">
      <w:pPr>
        <w:spacing w:after="0" w:line="240" w:lineRule="auto"/>
        <w:rPr>
          <w:b/>
          <w:sz w:val="24"/>
          <w:szCs w:val="24"/>
        </w:rPr>
      </w:pPr>
      <w:r>
        <w:rPr>
          <w:b/>
          <w:sz w:val="24"/>
          <w:szCs w:val="24"/>
        </w:rPr>
        <w:t xml:space="preserve">Benchmark Data: January 23, 2014 Annual Point in Time Count </w:t>
      </w:r>
      <w:r w:rsidR="00F45364">
        <w:rPr>
          <w:b/>
          <w:sz w:val="24"/>
          <w:szCs w:val="24"/>
        </w:rPr>
        <w:t>(Jan PIT Data)</w:t>
      </w:r>
    </w:p>
    <w:p w14:paraId="31486CB0" w14:textId="77777777" w:rsidR="006A36EE" w:rsidRDefault="006A36EE" w:rsidP="00CA7391">
      <w:pPr>
        <w:spacing w:after="0" w:line="240" w:lineRule="auto"/>
        <w:rPr>
          <w:b/>
          <w:sz w:val="24"/>
          <w:szCs w:val="24"/>
        </w:rPr>
      </w:pPr>
    </w:p>
    <w:p w14:paraId="427E575B" w14:textId="28571E5F" w:rsidR="006A36EE" w:rsidRDefault="006A36EE" w:rsidP="00CA7391">
      <w:pPr>
        <w:spacing w:after="0" w:line="240" w:lineRule="auto"/>
        <w:rPr>
          <w:sz w:val="24"/>
          <w:szCs w:val="24"/>
        </w:rPr>
      </w:pPr>
      <w:r>
        <w:rPr>
          <w:sz w:val="24"/>
          <w:szCs w:val="24"/>
        </w:rPr>
        <w:t>Special populations are frequently evaluated aside from the larger, overall count due to community &amp; national level goals inten</w:t>
      </w:r>
      <w:r w:rsidR="00320A50">
        <w:rPr>
          <w:sz w:val="24"/>
          <w:szCs w:val="24"/>
        </w:rPr>
        <w:t>ded to target these populations.</w:t>
      </w:r>
      <w:r>
        <w:rPr>
          <w:sz w:val="24"/>
          <w:szCs w:val="24"/>
        </w:rPr>
        <w:t xml:space="preserve">  </w:t>
      </w:r>
      <w:r w:rsidRPr="006A36EE">
        <w:rPr>
          <w:sz w:val="24"/>
          <w:szCs w:val="24"/>
        </w:rPr>
        <w:t>The Benchmark data</w:t>
      </w:r>
      <w:r>
        <w:rPr>
          <w:sz w:val="24"/>
          <w:szCs w:val="24"/>
        </w:rPr>
        <w:t xml:space="preserve"> in this measure is </w:t>
      </w:r>
      <w:r w:rsidRPr="006A36EE">
        <w:rPr>
          <w:sz w:val="24"/>
          <w:szCs w:val="24"/>
        </w:rPr>
        <w:t>based on the January 23, 2014 Annual Point in Time Count</w:t>
      </w:r>
      <w:r w:rsidR="00635F37">
        <w:rPr>
          <w:sz w:val="24"/>
          <w:szCs w:val="24"/>
        </w:rPr>
        <w:t xml:space="preserve">. </w:t>
      </w:r>
      <w:r>
        <w:rPr>
          <w:sz w:val="24"/>
          <w:szCs w:val="24"/>
        </w:rPr>
        <w:t xml:space="preserve"> </w:t>
      </w:r>
      <w:r w:rsidR="00635F37">
        <w:rPr>
          <w:sz w:val="24"/>
          <w:szCs w:val="24"/>
        </w:rPr>
        <w:t>The current measurement is for July 23, 2014.</w:t>
      </w:r>
    </w:p>
    <w:p w14:paraId="28B492B7" w14:textId="77777777" w:rsidR="000C4744" w:rsidRPr="00807390" w:rsidRDefault="000C4744" w:rsidP="00B9462A">
      <w:pPr>
        <w:spacing w:after="0" w:line="240" w:lineRule="auto"/>
        <w:rPr>
          <w:b/>
          <w:sz w:val="24"/>
          <w:szCs w:val="24"/>
        </w:rPr>
      </w:pPr>
    </w:p>
    <w:tbl>
      <w:tblPr>
        <w:tblStyle w:val="TableGrid"/>
        <w:tblW w:w="10350" w:type="dxa"/>
        <w:jc w:val="center"/>
        <w:tblLayout w:type="fixed"/>
        <w:tblLook w:val="04A0" w:firstRow="1" w:lastRow="0" w:firstColumn="1" w:lastColumn="0" w:noHBand="0" w:noVBand="1"/>
      </w:tblPr>
      <w:tblGrid>
        <w:gridCol w:w="4050"/>
        <w:gridCol w:w="1350"/>
        <w:gridCol w:w="1170"/>
        <w:gridCol w:w="1260"/>
        <w:gridCol w:w="2520"/>
      </w:tblGrid>
      <w:tr w:rsidR="00B776D4" w14:paraId="7E907F04" w14:textId="77777777" w:rsidTr="00054B47">
        <w:trPr>
          <w:trHeight w:val="305"/>
          <w:jc w:val="center"/>
        </w:trPr>
        <w:tc>
          <w:tcPr>
            <w:tcW w:w="4050" w:type="dxa"/>
            <w:shd w:val="pct15" w:color="auto" w:fill="auto"/>
          </w:tcPr>
          <w:p w14:paraId="44736C3F" w14:textId="77777777" w:rsidR="00B776D4" w:rsidRPr="006C7B50" w:rsidRDefault="00B776D4" w:rsidP="008C31A7">
            <w:pPr>
              <w:jc w:val="center"/>
              <w:rPr>
                <w:b/>
              </w:rPr>
            </w:pPr>
            <w:r>
              <w:rPr>
                <w:b/>
              </w:rPr>
              <w:t>Measure</w:t>
            </w:r>
          </w:p>
        </w:tc>
        <w:tc>
          <w:tcPr>
            <w:tcW w:w="1350" w:type="dxa"/>
            <w:shd w:val="pct15" w:color="auto" w:fill="auto"/>
          </w:tcPr>
          <w:p w14:paraId="7A540DDC" w14:textId="77777777" w:rsidR="00B776D4" w:rsidRDefault="00B776D4" w:rsidP="008C31A7">
            <w:pPr>
              <w:jc w:val="center"/>
              <w:rPr>
                <w:b/>
              </w:rPr>
            </w:pPr>
            <w:r>
              <w:rPr>
                <w:b/>
              </w:rPr>
              <w:t xml:space="preserve">July </w:t>
            </w:r>
          </w:p>
          <w:p w14:paraId="1B0C7B90" w14:textId="05A4A6A3" w:rsidR="00B776D4" w:rsidRDefault="00B776D4" w:rsidP="008C31A7">
            <w:pPr>
              <w:jc w:val="center"/>
              <w:rPr>
                <w:b/>
              </w:rPr>
            </w:pPr>
            <w:r>
              <w:rPr>
                <w:b/>
              </w:rPr>
              <w:t>PIT</w:t>
            </w:r>
          </w:p>
        </w:tc>
        <w:tc>
          <w:tcPr>
            <w:tcW w:w="1170" w:type="dxa"/>
            <w:shd w:val="pct15" w:color="auto" w:fill="auto"/>
          </w:tcPr>
          <w:p w14:paraId="33042A04" w14:textId="77777777" w:rsidR="00B776D4" w:rsidRDefault="00B776D4" w:rsidP="008C31A7">
            <w:pPr>
              <w:jc w:val="center"/>
              <w:rPr>
                <w:b/>
              </w:rPr>
            </w:pPr>
            <w:r>
              <w:rPr>
                <w:b/>
              </w:rPr>
              <w:t xml:space="preserve">April </w:t>
            </w:r>
          </w:p>
          <w:p w14:paraId="13220635" w14:textId="41CCB538" w:rsidR="00B776D4" w:rsidRDefault="00B776D4" w:rsidP="008C31A7">
            <w:pPr>
              <w:jc w:val="center"/>
              <w:rPr>
                <w:b/>
              </w:rPr>
            </w:pPr>
            <w:r>
              <w:rPr>
                <w:b/>
              </w:rPr>
              <w:t>PIT</w:t>
            </w:r>
          </w:p>
        </w:tc>
        <w:tc>
          <w:tcPr>
            <w:tcW w:w="1260" w:type="dxa"/>
            <w:shd w:val="pct15" w:color="auto" w:fill="auto"/>
          </w:tcPr>
          <w:p w14:paraId="6550F00C" w14:textId="3EA47D75" w:rsidR="00B776D4" w:rsidRDefault="00B776D4" w:rsidP="008C31A7">
            <w:pPr>
              <w:jc w:val="center"/>
              <w:rPr>
                <w:b/>
              </w:rPr>
            </w:pPr>
            <w:r>
              <w:rPr>
                <w:b/>
              </w:rPr>
              <w:t xml:space="preserve">Jan </w:t>
            </w:r>
            <w:r w:rsidR="004F4802">
              <w:rPr>
                <w:b/>
              </w:rPr>
              <w:t>*</w:t>
            </w:r>
          </w:p>
          <w:p w14:paraId="48ED1283" w14:textId="6D15D9DE" w:rsidR="00B776D4" w:rsidRDefault="00B776D4" w:rsidP="008C31A7">
            <w:pPr>
              <w:jc w:val="center"/>
              <w:rPr>
                <w:b/>
              </w:rPr>
            </w:pPr>
            <w:r>
              <w:rPr>
                <w:b/>
              </w:rPr>
              <w:t>PIT</w:t>
            </w:r>
          </w:p>
        </w:tc>
        <w:tc>
          <w:tcPr>
            <w:tcW w:w="2520" w:type="dxa"/>
            <w:shd w:val="pct15" w:color="auto" w:fill="auto"/>
            <w:vAlign w:val="center"/>
          </w:tcPr>
          <w:p w14:paraId="49EC0534" w14:textId="77777777" w:rsidR="00B776D4" w:rsidRPr="00E3142F" w:rsidRDefault="00B776D4" w:rsidP="008C31A7">
            <w:pPr>
              <w:jc w:val="center"/>
              <w:rPr>
                <w:b/>
              </w:rPr>
            </w:pPr>
            <w:r>
              <w:rPr>
                <w:b/>
              </w:rPr>
              <w:t>Comparison to Benchmark</w:t>
            </w:r>
          </w:p>
        </w:tc>
      </w:tr>
      <w:tr w:rsidR="00B776D4" w14:paraId="37C94FEE" w14:textId="77777777" w:rsidTr="00FE44C4">
        <w:trPr>
          <w:jc w:val="center"/>
        </w:trPr>
        <w:tc>
          <w:tcPr>
            <w:tcW w:w="4050" w:type="dxa"/>
          </w:tcPr>
          <w:p w14:paraId="0865C893" w14:textId="77777777" w:rsidR="00B776D4" w:rsidRPr="006C7B50" w:rsidRDefault="00B776D4" w:rsidP="008C31A7">
            <w:pPr>
              <w:rPr>
                <w:b/>
              </w:rPr>
            </w:pPr>
            <w:r>
              <w:rPr>
                <w:b/>
              </w:rPr>
              <w:t>Chronically Homeless</w:t>
            </w:r>
          </w:p>
        </w:tc>
        <w:tc>
          <w:tcPr>
            <w:tcW w:w="1350" w:type="dxa"/>
            <w:vAlign w:val="center"/>
          </w:tcPr>
          <w:p w14:paraId="43CC564A" w14:textId="2BA9CAE9" w:rsidR="00B776D4" w:rsidRDefault="00394172" w:rsidP="008C31A7">
            <w:pPr>
              <w:jc w:val="center"/>
              <w:rPr>
                <w:b/>
              </w:rPr>
            </w:pPr>
            <w:r>
              <w:rPr>
                <w:b/>
              </w:rPr>
              <w:t>230</w:t>
            </w:r>
          </w:p>
        </w:tc>
        <w:tc>
          <w:tcPr>
            <w:tcW w:w="1170" w:type="dxa"/>
            <w:vAlign w:val="center"/>
          </w:tcPr>
          <w:p w14:paraId="21055785" w14:textId="18997C7B" w:rsidR="00B776D4" w:rsidRDefault="00B776D4" w:rsidP="008C31A7">
            <w:pPr>
              <w:jc w:val="center"/>
              <w:rPr>
                <w:b/>
              </w:rPr>
            </w:pPr>
            <w:r>
              <w:rPr>
                <w:b/>
              </w:rPr>
              <w:t>282</w:t>
            </w:r>
          </w:p>
        </w:tc>
        <w:tc>
          <w:tcPr>
            <w:tcW w:w="1260" w:type="dxa"/>
            <w:vAlign w:val="center"/>
          </w:tcPr>
          <w:p w14:paraId="11173924" w14:textId="467CD5D0" w:rsidR="00B776D4" w:rsidRDefault="00A0019B" w:rsidP="008C31A7">
            <w:pPr>
              <w:jc w:val="center"/>
              <w:rPr>
                <w:b/>
              </w:rPr>
            </w:pPr>
            <w:r>
              <w:rPr>
                <w:b/>
              </w:rPr>
              <w:t>267</w:t>
            </w:r>
          </w:p>
        </w:tc>
        <w:tc>
          <w:tcPr>
            <w:tcW w:w="2520" w:type="dxa"/>
            <w:vAlign w:val="center"/>
          </w:tcPr>
          <w:p w14:paraId="42F7CEE7" w14:textId="05FF7AAF" w:rsidR="00B776D4" w:rsidRDefault="00A0019B" w:rsidP="00A0019B">
            <w:pPr>
              <w:jc w:val="center"/>
              <w:rPr>
                <w:b/>
              </w:rPr>
            </w:pPr>
            <w:r>
              <w:rPr>
                <w:b/>
              </w:rPr>
              <w:t>14</w:t>
            </w:r>
            <w:r w:rsidR="00B776D4">
              <w:rPr>
                <w:b/>
              </w:rPr>
              <w:t xml:space="preserve">% </w:t>
            </w:r>
            <w:r w:rsidR="00E11C14">
              <w:rPr>
                <w:b/>
              </w:rPr>
              <w:t>de</w:t>
            </w:r>
            <w:r w:rsidR="00B776D4">
              <w:rPr>
                <w:b/>
              </w:rPr>
              <w:t>crease</w:t>
            </w:r>
            <w:r w:rsidR="00FE44C4">
              <w:rPr>
                <w:b/>
              </w:rPr>
              <w:t xml:space="preserve"> from January to July</w:t>
            </w:r>
          </w:p>
        </w:tc>
      </w:tr>
      <w:tr w:rsidR="00B776D4" w14:paraId="1D0478F9" w14:textId="77777777" w:rsidTr="00FE44C4">
        <w:trPr>
          <w:jc w:val="center"/>
        </w:trPr>
        <w:tc>
          <w:tcPr>
            <w:tcW w:w="4050" w:type="dxa"/>
          </w:tcPr>
          <w:p w14:paraId="1CCD04AC" w14:textId="77777777" w:rsidR="00B776D4" w:rsidRDefault="00B776D4" w:rsidP="008C31A7">
            <w:pPr>
              <w:rPr>
                <w:b/>
              </w:rPr>
            </w:pPr>
            <w:r>
              <w:rPr>
                <w:b/>
              </w:rPr>
              <w:t xml:space="preserve">Veterans </w:t>
            </w:r>
          </w:p>
        </w:tc>
        <w:tc>
          <w:tcPr>
            <w:tcW w:w="1350" w:type="dxa"/>
            <w:vAlign w:val="center"/>
          </w:tcPr>
          <w:p w14:paraId="00390318" w14:textId="4A9492D1" w:rsidR="00B776D4" w:rsidRDefault="00B776D4" w:rsidP="00555A9C">
            <w:pPr>
              <w:jc w:val="center"/>
              <w:rPr>
                <w:b/>
              </w:rPr>
            </w:pPr>
            <w:r>
              <w:rPr>
                <w:b/>
              </w:rPr>
              <w:t>2</w:t>
            </w:r>
            <w:r w:rsidR="00697CCD">
              <w:rPr>
                <w:b/>
              </w:rPr>
              <w:t>36</w:t>
            </w:r>
          </w:p>
        </w:tc>
        <w:tc>
          <w:tcPr>
            <w:tcW w:w="1170" w:type="dxa"/>
            <w:vAlign w:val="center"/>
          </w:tcPr>
          <w:p w14:paraId="3AE6C2D4" w14:textId="3AB03EBB" w:rsidR="00B776D4" w:rsidRDefault="00B776D4" w:rsidP="008C31A7">
            <w:pPr>
              <w:jc w:val="center"/>
              <w:rPr>
                <w:b/>
              </w:rPr>
            </w:pPr>
            <w:r>
              <w:rPr>
                <w:b/>
              </w:rPr>
              <w:t>267</w:t>
            </w:r>
          </w:p>
        </w:tc>
        <w:tc>
          <w:tcPr>
            <w:tcW w:w="1260" w:type="dxa"/>
            <w:vAlign w:val="center"/>
          </w:tcPr>
          <w:p w14:paraId="26386392" w14:textId="6E199ABA" w:rsidR="00B776D4" w:rsidRDefault="00A0019B" w:rsidP="008C31A7">
            <w:pPr>
              <w:jc w:val="center"/>
              <w:rPr>
                <w:b/>
              </w:rPr>
            </w:pPr>
            <w:r>
              <w:rPr>
                <w:b/>
              </w:rPr>
              <w:t>217</w:t>
            </w:r>
          </w:p>
        </w:tc>
        <w:tc>
          <w:tcPr>
            <w:tcW w:w="2520" w:type="dxa"/>
            <w:vAlign w:val="center"/>
          </w:tcPr>
          <w:p w14:paraId="5C50A630" w14:textId="2A84A299" w:rsidR="00B776D4" w:rsidRDefault="00A0019B" w:rsidP="00A0019B">
            <w:pPr>
              <w:jc w:val="center"/>
              <w:rPr>
                <w:b/>
              </w:rPr>
            </w:pPr>
            <w:r>
              <w:rPr>
                <w:b/>
              </w:rPr>
              <w:t>9</w:t>
            </w:r>
            <w:r w:rsidR="00B776D4">
              <w:rPr>
                <w:b/>
              </w:rPr>
              <w:t xml:space="preserve">% </w:t>
            </w:r>
            <w:r>
              <w:rPr>
                <w:b/>
              </w:rPr>
              <w:t>in</w:t>
            </w:r>
            <w:r w:rsidR="00B776D4">
              <w:rPr>
                <w:b/>
              </w:rPr>
              <w:t>crease</w:t>
            </w:r>
            <w:r w:rsidR="00FE44C4">
              <w:rPr>
                <w:b/>
              </w:rPr>
              <w:t xml:space="preserve"> from January to July</w:t>
            </w:r>
          </w:p>
        </w:tc>
      </w:tr>
      <w:tr w:rsidR="00B776D4" w14:paraId="422D4D29" w14:textId="77777777" w:rsidTr="00FE44C4">
        <w:trPr>
          <w:jc w:val="center"/>
        </w:trPr>
        <w:tc>
          <w:tcPr>
            <w:tcW w:w="4050" w:type="dxa"/>
          </w:tcPr>
          <w:p w14:paraId="4FA1B3C2" w14:textId="77777777" w:rsidR="00B776D4" w:rsidRDefault="00B776D4" w:rsidP="008C31A7">
            <w:pPr>
              <w:rPr>
                <w:b/>
              </w:rPr>
            </w:pPr>
            <w:r>
              <w:rPr>
                <w:b/>
              </w:rPr>
              <w:t>Chronically Homeless Veterans</w:t>
            </w:r>
          </w:p>
        </w:tc>
        <w:tc>
          <w:tcPr>
            <w:tcW w:w="1350" w:type="dxa"/>
            <w:vAlign w:val="center"/>
          </w:tcPr>
          <w:p w14:paraId="097A0860" w14:textId="3D3B93B0" w:rsidR="00B776D4" w:rsidRDefault="00FD61F5" w:rsidP="00555A9C">
            <w:pPr>
              <w:jc w:val="center"/>
              <w:rPr>
                <w:b/>
              </w:rPr>
            </w:pPr>
            <w:r>
              <w:rPr>
                <w:b/>
              </w:rPr>
              <w:t>2</w:t>
            </w:r>
            <w:r w:rsidR="00555A9C">
              <w:rPr>
                <w:b/>
              </w:rPr>
              <w:t>7</w:t>
            </w:r>
          </w:p>
        </w:tc>
        <w:tc>
          <w:tcPr>
            <w:tcW w:w="1170" w:type="dxa"/>
            <w:vAlign w:val="center"/>
          </w:tcPr>
          <w:p w14:paraId="7433DBBF" w14:textId="61C0032E" w:rsidR="00B776D4" w:rsidRDefault="00E11C14" w:rsidP="008C31A7">
            <w:pPr>
              <w:jc w:val="center"/>
              <w:rPr>
                <w:b/>
              </w:rPr>
            </w:pPr>
            <w:r>
              <w:rPr>
                <w:b/>
              </w:rPr>
              <w:t>48</w:t>
            </w:r>
          </w:p>
        </w:tc>
        <w:tc>
          <w:tcPr>
            <w:tcW w:w="1260" w:type="dxa"/>
            <w:vAlign w:val="center"/>
          </w:tcPr>
          <w:p w14:paraId="299FF7C2" w14:textId="1E46ED28" w:rsidR="00B776D4" w:rsidRDefault="00E11C14" w:rsidP="008C31A7">
            <w:pPr>
              <w:jc w:val="center"/>
              <w:rPr>
                <w:b/>
              </w:rPr>
            </w:pPr>
            <w:r>
              <w:rPr>
                <w:b/>
              </w:rPr>
              <w:t>62</w:t>
            </w:r>
          </w:p>
        </w:tc>
        <w:tc>
          <w:tcPr>
            <w:tcW w:w="2520" w:type="dxa"/>
            <w:vAlign w:val="center"/>
          </w:tcPr>
          <w:p w14:paraId="78F09FBF" w14:textId="5A7FC6B6" w:rsidR="00B776D4" w:rsidRDefault="00A0019B" w:rsidP="008C31A7">
            <w:pPr>
              <w:jc w:val="center"/>
              <w:rPr>
                <w:b/>
              </w:rPr>
            </w:pPr>
            <w:r>
              <w:rPr>
                <w:b/>
              </w:rPr>
              <w:t>56</w:t>
            </w:r>
            <w:r w:rsidR="00E11C14">
              <w:rPr>
                <w:b/>
              </w:rPr>
              <w:t>% decrease</w:t>
            </w:r>
            <w:r w:rsidR="00FE44C4">
              <w:rPr>
                <w:b/>
              </w:rPr>
              <w:t xml:space="preserve"> from January to July</w:t>
            </w:r>
          </w:p>
        </w:tc>
      </w:tr>
      <w:tr w:rsidR="00B776D4" w14:paraId="73CB36EC" w14:textId="77777777" w:rsidTr="00FE44C4">
        <w:trPr>
          <w:jc w:val="center"/>
        </w:trPr>
        <w:tc>
          <w:tcPr>
            <w:tcW w:w="4050" w:type="dxa"/>
          </w:tcPr>
          <w:p w14:paraId="5EF5F196" w14:textId="77777777" w:rsidR="00B776D4" w:rsidRDefault="00B776D4" w:rsidP="008C31A7">
            <w:pPr>
              <w:rPr>
                <w:b/>
              </w:rPr>
            </w:pPr>
            <w:r>
              <w:rPr>
                <w:b/>
              </w:rPr>
              <w:t>Homeless Families with Children</w:t>
            </w:r>
          </w:p>
        </w:tc>
        <w:tc>
          <w:tcPr>
            <w:tcW w:w="1350" w:type="dxa"/>
            <w:vAlign w:val="center"/>
          </w:tcPr>
          <w:p w14:paraId="1C420393" w14:textId="52DF3317" w:rsidR="00B776D4" w:rsidRDefault="00E76060" w:rsidP="00555A9C">
            <w:pPr>
              <w:jc w:val="center"/>
              <w:rPr>
                <w:b/>
              </w:rPr>
            </w:pPr>
            <w:r>
              <w:rPr>
                <w:b/>
              </w:rPr>
              <w:t>262</w:t>
            </w:r>
          </w:p>
        </w:tc>
        <w:tc>
          <w:tcPr>
            <w:tcW w:w="1170" w:type="dxa"/>
            <w:vAlign w:val="center"/>
          </w:tcPr>
          <w:p w14:paraId="0DE98F25" w14:textId="1663525E" w:rsidR="00B776D4" w:rsidRDefault="00B776D4" w:rsidP="008C31A7">
            <w:pPr>
              <w:jc w:val="center"/>
              <w:rPr>
                <w:b/>
              </w:rPr>
            </w:pPr>
            <w:r>
              <w:rPr>
                <w:b/>
              </w:rPr>
              <w:t>286</w:t>
            </w:r>
          </w:p>
        </w:tc>
        <w:tc>
          <w:tcPr>
            <w:tcW w:w="1260" w:type="dxa"/>
            <w:vAlign w:val="center"/>
          </w:tcPr>
          <w:p w14:paraId="2B8FF073" w14:textId="46EF8170" w:rsidR="00B776D4" w:rsidRDefault="00A0019B" w:rsidP="008C31A7">
            <w:pPr>
              <w:jc w:val="center"/>
              <w:rPr>
                <w:b/>
              </w:rPr>
            </w:pPr>
            <w:r>
              <w:rPr>
                <w:b/>
              </w:rPr>
              <w:t>321</w:t>
            </w:r>
          </w:p>
        </w:tc>
        <w:tc>
          <w:tcPr>
            <w:tcW w:w="2520" w:type="dxa"/>
            <w:vAlign w:val="center"/>
          </w:tcPr>
          <w:p w14:paraId="4C0841A5" w14:textId="13F61EBD" w:rsidR="00B776D4" w:rsidRDefault="00E11C14" w:rsidP="00A0019B">
            <w:pPr>
              <w:jc w:val="center"/>
              <w:rPr>
                <w:b/>
              </w:rPr>
            </w:pPr>
            <w:r>
              <w:rPr>
                <w:b/>
              </w:rPr>
              <w:t>1</w:t>
            </w:r>
            <w:r w:rsidR="00A0019B">
              <w:rPr>
                <w:b/>
              </w:rPr>
              <w:t>8</w:t>
            </w:r>
            <w:r w:rsidR="00B776D4">
              <w:rPr>
                <w:b/>
              </w:rPr>
              <w:t xml:space="preserve">% </w:t>
            </w:r>
            <w:r w:rsidR="00A0019B">
              <w:rPr>
                <w:b/>
              </w:rPr>
              <w:t>de</w:t>
            </w:r>
            <w:r w:rsidR="00B776D4">
              <w:rPr>
                <w:b/>
              </w:rPr>
              <w:t>crease</w:t>
            </w:r>
            <w:r w:rsidR="00FE44C4">
              <w:rPr>
                <w:b/>
              </w:rPr>
              <w:t xml:space="preserve"> from January to July</w:t>
            </w:r>
          </w:p>
        </w:tc>
      </w:tr>
    </w:tbl>
    <w:p w14:paraId="63276CF0" w14:textId="56E4E683" w:rsidR="00B9462A" w:rsidRDefault="004F4802" w:rsidP="00B9462A">
      <w:pPr>
        <w:spacing w:after="0" w:line="240" w:lineRule="auto"/>
        <w:rPr>
          <w:i/>
          <w:sz w:val="20"/>
          <w:szCs w:val="24"/>
        </w:rPr>
      </w:pPr>
      <w:r>
        <w:rPr>
          <w:b/>
          <w:sz w:val="24"/>
          <w:szCs w:val="24"/>
        </w:rPr>
        <w:t xml:space="preserve">    </w:t>
      </w:r>
      <w:r w:rsidRPr="004F4802">
        <w:rPr>
          <w:i/>
          <w:sz w:val="20"/>
          <w:szCs w:val="24"/>
        </w:rPr>
        <w:t>*Includes only Sheltered Clients</w:t>
      </w:r>
    </w:p>
    <w:p w14:paraId="266C0E4D" w14:textId="77777777" w:rsidR="004F4802" w:rsidRPr="004F4802" w:rsidRDefault="004F4802" w:rsidP="00B9462A">
      <w:pPr>
        <w:spacing w:after="0" w:line="240" w:lineRule="auto"/>
        <w:rPr>
          <w:i/>
          <w:sz w:val="20"/>
          <w:szCs w:val="24"/>
        </w:rPr>
      </w:pPr>
    </w:p>
    <w:p w14:paraId="465C963D" w14:textId="77777777" w:rsidR="005E2E33" w:rsidRDefault="00B0090A" w:rsidP="00B9462A">
      <w:pPr>
        <w:spacing w:after="0" w:line="240" w:lineRule="auto"/>
        <w:rPr>
          <w:b/>
          <w:sz w:val="24"/>
          <w:szCs w:val="24"/>
        </w:rPr>
      </w:pPr>
      <w:r>
        <w:rPr>
          <w:b/>
          <w:sz w:val="24"/>
          <w:szCs w:val="24"/>
        </w:rPr>
        <w:t>Average Length of Stay</w:t>
      </w:r>
      <w:r w:rsidR="005001F2">
        <w:rPr>
          <w:b/>
          <w:sz w:val="24"/>
          <w:szCs w:val="24"/>
        </w:rPr>
        <w:t xml:space="preserve"> – Includes Only Continuum of Care Funded Programs</w:t>
      </w:r>
    </w:p>
    <w:p w14:paraId="68FC6C90" w14:textId="77777777" w:rsidR="00F45364" w:rsidRDefault="00F45364" w:rsidP="00B9462A">
      <w:pPr>
        <w:spacing w:after="0" w:line="240" w:lineRule="auto"/>
        <w:rPr>
          <w:b/>
          <w:sz w:val="24"/>
          <w:szCs w:val="24"/>
        </w:rPr>
      </w:pPr>
      <w:r>
        <w:rPr>
          <w:b/>
          <w:sz w:val="24"/>
          <w:szCs w:val="24"/>
        </w:rPr>
        <w:t>Benchmark Data: Program Year 2013</w:t>
      </w:r>
    </w:p>
    <w:p w14:paraId="36DDB850" w14:textId="77777777" w:rsidR="006A36EE" w:rsidRDefault="006A36EE" w:rsidP="00B9462A">
      <w:pPr>
        <w:spacing w:after="0" w:line="240" w:lineRule="auto"/>
        <w:rPr>
          <w:b/>
          <w:sz w:val="24"/>
          <w:szCs w:val="24"/>
        </w:rPr>
      </w:pPr>
    </w:p>
    <w:p w14:paraId="72F4B365" w14:textId="5754CACA" w:rsidR="006A36EE" w:rsidRDefault="006A36EE" w:rsidP="00B9462A">
      <w:pPr>
        <w:spacing w:after="0" w:line="240" w:lineRule="auto"/>
        <w:rPr>
          <w:sz w:val="24"/>
          <w:szCs w:val="24"/>
        </w:rPr>
      </w:pPr>
      <w:r>
        <w:rPr>
          <w:sz w:val="24"/>
          <w:szCs w:val="24"/>
        </w:rPr>
        <w:t>Lengt</w:t>
      </w:r>
      <w:r w:rsidR="00320A50">
        <w:rPr>
          <w:sz w:val="24"/>
          <w:szCs w:val="24"/>
        </w:rPr>
        <w:t>h of Stay is measured to determine</w:t>
      </w:r>
      <w:r>
        <w:rPr>
          <w:sz w:val="24"/>
          <w:szCs w:val="24"/>
        </w:rPr>
        <w:t xml:space="preserve"> if clients are moving through the programs in an appropriate length of time</w:t>
      </w:r>
      <w:r w:rsidR="00320A50">
        <w:rPr>
          <w:sz w:val="24"/>
          <w:szCs w:val="24"/>
        </w:rPr>
        <w:t xml:space="preserve"> and are efficiently</w:t>
      </w:r>
      <w:r w:rsidR="00E055A1">
        <w:rPr>
          <w:sz w:val="24"/>
          <w:szCs w:val="24"/>
        </w:rPr>
        <w:t xml:space="preserve"> moving towards a permanent and stable home.  Rapid Rehousing, Transitional Housing &amp; Permanent Supportive Housing proje</w:t>
      </w:r>
      <w:r w:rsidR="00320A50">
        <w:rPr>
          <w:sz w:val="24"/>
          <w:szCs w:val="24"/>
        </w:rPr>
        <w:t>cts are measured in months and Emergency S</w:t>
      </w:r>
      <w:r w:rsidR="00E055A1">
        <w:rPr>
          <w:sz w:val="24"/>
          <w:szCs w:val="24"/>
        </w:rPr>
        <w:t>helter stays are measured in days.  Baseline data for this measure is from Program Year 2013, based on the annua</w:t>
      </w:r>
      <w:r w:rsidR="00635F37">
        <w:rPr>
          <w:sz w:val="24"/>
          <w:szCs w:val="24"/>
        </w:rPr>
        <w:t>l HUD program year,</w:t>
      </w:r>
      <w:r w:rsidR="00E055A1">
        <w:rPr>
          <w:sz w:val="24"/>
          <w:szCs w:val="24"/>
        </w:rPr>
        <w:t xml:space="preserve"> October 1, 2012 – September 30, 2013.  Current data includes the Year to Date quarterly data</w:t>
      </w:r>
      <w:r w:rsidR="00320A50">
        <w:rPr>
          <w:sz w:val="24"/>
          <w:szCs w:val="24"/>
        </w:rPr>
        <w:t xml:space="preserve"> which i</w:t>
      </w:r>
      <w:r w:rsidR="00E055A1">
        <w:rPr>
          <w:sz w:val="24"/>
          <w:szCs w:val="24"/>
        </w:rPr>
        <w:t xml:space="preserve">ncludes data from </w:t>
      </w:r>
      <w:r w:rsidR="00320A50">
        <w:rPr>
          <w:sz w:val="24"/>
          <w:szCs w:val="24"/>
        </w:rPr>
        <w:t>October 1, 2013</w:t>
      </w:r>
      <w:r w:rsidR="00E055A1">
        <w:rPr>
          <w:sz w:val="24"/>
          <w:szCs w:val="24"/>
        </w:rPr>
        <w:t xml:space="preserve"> – June 30, 2014.  </w:t>
      </w:r>
    </w:p>
    <w:p w14:paraId="30931DD5" w14:textId="77777777" w:rsidR="00E055A1" w:rsidRDefault="00E055A1" w:rsidP="00B9462A">
      <w:pPr>
        <w:spacing w:after="0" w:line="240" w:lineRule="auto"/>
        <w:rPr>
          <w:sz w:val="24"/>
          <w:szCs w:val="24"/>
        </w:rPr>
      </w:pPr>
    </w:p>
    <w:p w14:paraId="7FE6AA04" w14:textId="44AEAF9B" w:rsidR="002433BE" w:rsidRDefault="002433BE" w:rsidP="002433BE">
      <w:pPr>
        <w:spacing w:after="0" w:line="240" w:lineRule="auto"/>
        <w:rPr>
          <w:sz w:val="24"/>
          <w:szCs w:val="24"/>
        </w:rPr>
      </w:pPr>
      <w:r>
        <w:rPr>
          <w:sz w:val="24"/>
          <w:szCs w:val="24"/>
        </w:rPr>
        <w:t>“</w:t>
      </w:r>
      <w:r w:rsidR="00E055A1">
        <w:rPr>
          <w:sz w:val="24"/>
          <w:szCs w:val="24"/>
        </w:rPr>
        <w:t>Leavers</w:t>
      </w:r>
      <w:r>
        <w:rPr>
          <w:sz w:val="24"/>
          <w:szCs w:val="24"/>
        </w:rPr>
        <w:t xml:space="preserve">” are </w:t>
      </w:r>
      <w:r w:rsidR="00320A50">
        <w:rPr>
          <w:sz w:val="24"/>
          <w:szCs w:val="24"/>
        </w:rPr>
        <w:t>define</w:t>
      </w:r>
      <w:r w:rsidR="00635F37">
        <w:rPr>
          <w:sz w:val="24"/>
          <w:szCs w:val="24"/>
        </w:rPr>
        <w:t>d</w:t>
      </w:r>
      <w:r w:rsidR="00320A50">
        <w:rPr>
          <w:sz w:val="24"/>
          <w:szCs w:val="24"/>
        </w:rPr>
        <w:t xml:space="preserve"> as </w:t>
      </w:r>
      <w:r>
        <w:rPr>
          <w:sz w:val="24"/>
          <w:szCs w:val="24"/>
        </w:rPr>
        <w:t>clients who</w:t>
      </w:r>
      <w:r w:rsidRPr="002433BE">
        <w:rPr>
          <w:sz w:val="24"/>
          <w:szCs w:val="24"/>
        </w:rPr>
        <w:t xml:space="preserve"> exit the program during the reporting period and have not subsequently re-entered</w:t>
      </w:r>
      <w:r w:rsidR="00320A50">
        <w:rPr>
          <w:sz w:val="24"/>
          <w:szCs w:val="24"/>
        </w:rPr>
        <w:t xml:space="preserve"> </w:t>
      </w:r>
      <w:r w:rsidRPr="002433BE">
        <w:rPr>
          <w:sz w:val="24"/>
          <w:szCs w:val="24"/>
        </w:rPr>
        <w:t>the program by the last day of the reporting period.</w:t>
      </w:r>
    </w:p>
    <w:p w14:paraId="4F155835" w14:textId="77777777" w:rsidR="002433BE" w:rsidRDefault="002433BE" w:rsidP="002433BE">
      <w:pPr>
        <w:spacing w:after="0" w:line="240" w:lineRule="auto"/>
        <w:rPr>
          <w:sz w:val="24"/>
          <w:szCs w:val="24"/>
        </w:rPr>
      </w:pPr>
    </w:p>
    <w:p w14:paraId="0BF864AF" w14:textId="7C93B262" w:rsidR="002433BE" w:rsidRDefault="002433BE" w:rsidP="002433BE">
      <w:pPr>
        <w:spacing w:after="0" w:line="240" w:lineRule="auto"/>
        <w:rPr>
          <w:sz w:val="24"/>
          <w:szCs w:val="24"/>
        </w:rPr>
      </w:pPr>
      <w:r>
        <w:rPr>
          <w:sz w:val="24"/>
          <w:szCs w:val="24"/>
        </w:rPr>
        <w:t>“S</w:t>
      </w:r>
      <w:r w:rsidRPr="002433BE">
        <w:rPr>
          <w:sz w:val="24"/>
          <w:szCs w:val="24"/>
        </w:rPr>
        <w:t xml:space="preserve">tayers” are </w:t>
      </w:r>
      <w:r w:rsidR="00320A50">
        <w:rPr>
          <w:sz w:val="24"/>
          <w:szCs w:val="24"/>
        </w:rPr>
        <w:t xml:space="preserve">defined as </w:t>
      </w:r>
      <w:r w:rsidRPr="002433BE">
        <w:rPr>
          <w:sz w:val="24"/>
          <w:szCs w:val="24"/>
        </w:rPr>
        <w:t>clients with a program entry date on or prior to the end of the reporting period who have no</w:t>
      </w:r>
      <w:r w:rsidR="00320A50">
        <w:rPr>
          <w:sz w:val="24"/>
          <w:szCs w:val="24"/>
        </w:rPr>
        <w:t xml:space="preserve"> </w:t>
      </w:r>
      <w:r w:rsidRPr="002433BE">
        <w:rPr>
          <w:sz w:val="24"/>
          <w:szCs w:val="24"/>
        </w:rPr>
        <w:t>program exit date or</w:t>
      </w:r>
      <w:r w:rsidR="00635F37">
        <w:rPr>
          <w:sz w:val="24"/>
          <w:szCs w:val="24"/>
        </w:rPr>
        <w:t xml:space="preserve"> have</w:t>
      </w:r>
      <w:r w:rsidRPr="002433BE">
        <w:rPr>
          <w:sz w:val="24"/>
          <w:szCs w:val="24"/>
        </w:rPr>
        <w:t xml:space="preserve"> a program exit date after the end of the reporting period.</w:t>
      </w:r>
    </w:p>
    <w:p w14:paraId="3D9B3D52" w14:textId="77777777" w:rsidR="003E1996" w:rsidRPr="005E2E33" w:rsidRDefault="003E1996" w:rsidP="00B9462A">
      <w:pPr>
        <w:spacing w:after="0" w:line="240" w:lineRule="auto"/>
        <w:rPr>
          <w:b/>
          <w:sz w:val="24"/>
          <w:szCs w:val="24"/>
        </w:rPr>
      </w:pPr>
    </w:p>
    <w:tbl>
      <w:tblPr>
        <w:tblStyle w:val="TableGrid"/>
        <w:tblW w:w="10075" w:type="dxa"/>
        <w:jc w:val="center"/>
        <w:tblLayout w:type="fixed"/>
        <w:tblLook w:val="04A0" w:firstRow="1" w:lastRow="0" w:firstColumn="1" w:lastColumn="0" w:noHBand="0" w:noVBand="1"/>
      </w:tblPr>
      <w:tblGrid>
        <w:gridCol w:w="2425"/>
        <w:gridCol w:w="990"/>
        <w:gridCol w:w="1080"/>
        <w:gridCol w:w="1080"/>
        <w:gridCol w:w="990"/>
        <w:gridCol w:w="990"/>
        <w:gridCol w:w="990"/>
        <w:gridCol w:w="1530"/>
      </w:tblGrid>
      <w:tr w:rsidR="008C31A7" w14:paraId="1CFDFC84" w14:textId="77777777" w:rsidTr="006F21BD">
        <w:trPr>
          <w:trHeight w:val="305"/>
          <w:jc w:val="center"/>
        </w:trPr>
        <w:tc>
          <w:tcPr>
            <w:tcW w:w="2425" w:type="dxa"/>
            <w:shd w:val="pct15" w:color="auto" w:fill="auto"/>
          </w:tcPr>
          <w:p w14:paraId="078C45BD" w14:textId="77777777" w:rsidR="008C31A7" w:rsidRPr="006C7B50" w:rsidRDefault="008C31A7" w:rsidP="008C31A7">
            <w:pPr>
              <w:jc w:val="center"/>
              <w:rPr>
                <w:b/>
              </w:rPr>
            </w:pPr>
            <w:r>
              <w:rPr>
                <w:b/>
              </w:rPr>
              <w:t>Measure</w:t>
            </w:r>
          </w:p>
        </w:tc>
        <w:tc>
          <w:tcPr>
            <w:tcW w:w="990" w:type="dxa"/>
            <w:shd w:val="pct15" w:color="auto" w:fill="auto"/>
          </w:tcPr>
          <w:p w14:paraId="2B5C1A0F" w14:textId="77777777" w:rsidR="008C31A7" w:rsidRDefault="008C31A7" w:rsidP="008C31A7">
            <w:pPr>
              <w:jc w:val="center"/>
              <w:rPr>
                <w:b/>
              </w:rPr>
            </w:pPr>
            <w:r>
              <w:rPr>
                <w:b/>
              </w:rPr>
              <w:t xml:space="preserve">QPR </w:t>
            </w:r>
          </w:p>
          <w:p w14:paraId="07608659" w14:textId="77777777" w:rsidR="008C31A7" w:rsidRDefault="008C31A7" w:rsidP="008C31A7">
            <w:pPr>
              <w:jc w:val="center"/>
              <w:rPr>
                <w:b/>
              </w:rPr>
            </w:pPr>
            <w:r>
              <w:rPr>
                <w:b/>
              </w:rPr>
              <w:t>Leavers</w:t>
            </w:r>
          </w:p>
        </w:tc>
        <w:tc>
          <w:tcPr>
            <w:tcW w:w="1080" w:type="dxa"/>
            <w:shd w:val="pct15" w:color="auto" w:fill="auto"/>
          </w:tcPr>
          <w:p w14:paraId="1D0EB018" w14:textId="77777777" w:rsidR="008C31A7" w:rsidRDefault="008C31A7" w:rsidP="008C31A7">
            <w:pPr>
              <w:jc w:val="center"/>
              <w:rPr>
                <w:b/>
              </w:rPr>
            </w:pPr>
            <w:r>
              <w:rPr>
                <w:b/>
              </w:rPr>
              <w:t xml:space="preserve">QPR </w:t>
            </w:r>
          </w:p>
          <w:p w14:paraId="57863F31" w14:textId="77777777" w:rsidR="008C31A7" w:rsidRDefault="008C31A7" w:rsidP="008C31A7">
            <w:pPr>
              <w:jc w:val="center"/>
              <w:rPr>
                <w:b/>
              </w:rPr>
            </w:pPr>
            <w:r>
              <w:rPr>
                <w:b/>
              </w:rPr>
              <w:t>Stayers</w:t>
            </w:r>
          </w:p>
        </w:tc>
        <w:tc>
          <w:tcPr>
            <w:tcW w:w="1080" w:type="dxa"/>
            <w:shd w:val="pct15" w:color="auto" w:fill="auto"/>
          </w:tcPr>
          <w:p w14:paraId="543316A9" w14:textId="77777777" w:rsidR="008C31A7" w:rsidRDefault="008C31A7" w:rsidP="008C31A7">
            <w:pPr>
              <w:jc w:val="center"/>
              <w:rPr>
                <w:b/>
              </w:rPr>
            </w:pPr>
            <w:r>
              <w:rPr>
                <w:b/>
              </w:rPr>
              <w:t xml:space="preserve">QPR </w:t>
            </w:r>
          </w:p>
          <w:p w14:paraId="46F945C2" w14:textId="77777777" w:rsidR="008C31A7" w:rsidRDefault="008C31A7" w:rsidP="008C31A7">
            <w:pPr>
              <w:jc w:val="center"/>
              <w:rPr>
                <w:b/>
              </w:rPr>
            </w:pPr>
            <w:r>
              <w:rPr>
                <w:b/>
              </w:rPr>
              <w:t>Total</w:t>
            </w:r>
          </w:p>
        </w:tc>
        <w:tc>
          <w:tcPr>
            <w:tcW w:w="990" w:type="dxa"/>
            <w:shd w:val="pct15" w:color="auto" w:fill="auto"/>
          </w:tcPr>
          <w:p w14:paraId="63F600AF" w14:textId="77777777" w:rsidR="008C31A7" w:rsidRDefault="008C31A7" w:rsidP="008C31A7">
            <w:pPr>
              <w:jc w:val="center"/>
              <w:rPr>
                <w:b/>
              </w:rPr>
            </w:pPr>
            <w:r>
              <w:rPr>
                <w:b/>
              </w:rPr>
              <w:t xml:space="preserve">PY2013 </w:t>
            </w:r>
          </w:p>
          <w:p w14:paraId="6F853846" w14:textId="77777777" w:rsidR="008C31A7" w:rsidRDefault="008C31A7" w:rsidP="008C31A7">
            <w:pPr>
              <w:jc w:val="center"/>
              <w:rPr>
                <w:b/>
              </w:rPr>
            </w:pPr>
            <w:r>
              <w:rPr>
                <w:b/>
              </w:rPr>
              <w:t>Leavers</w:t>
            </w:r>
          </w:p>
        </w:tc>
        <w:tc>
          <w:tcPr>
            <w:tcW w:w="990" w:type="dxa"/>
            <w:shd w:val="pct15" w:color="auto" w:fill="auto"/>
          </w:tcPr>
          <w:p w14:paraId="64CCDB8D" w14:textId="77777777" w:rsidR="008C31A7" w:rsidRDefault="008C31A7" w:rsidP="008C31A7">
            <w:pPr>
              <w:jc w:val="center"/>
              <w:rPr>
                <w:b/>
              </w:rPr>
            </w:pPr>
            <w:r>
              <w:rPr>
                <w:b/>
              </w:rPr>
              <w:t>PY2013 Stayers</w:t>
            </w:r>
          </w:p>
        </w:tc>
        <w:tc>
          <w:tcPr>
            <w:tcW w:w="990" w:type="dxa"/>
            <w:shd w:val="pct15" w:color="auto" w:fill="auto"/>
          </w:tcPr>
          <w:p w14:paraId="220F8F75" w14:textId="77777777" w:rsidR="008C31A7" w:rsidRDefault="008C31A7" w:rsidP="008C31A7">
            <w:pPr>
              <w:jc w:val="center"/>
              <w:rPr>
                <w:b/>
              </w:rPr>
            </w:pPr>
            <w:r>
              <w:rPr>
                <w:b/>
              </w:rPr>
              <w:t>PY2013</w:t>
            </w:r>
          </w:p>
          <w:p w14:paraId="49FF502C" w14:textId="77777777" w:rsidR="008C31A7" w:rsidRDefault="008C31A7" w:rsidP="008C31A7">
            <w:pPr>
              <w:jc w:val="center"/>
              <w:rPr>
                <w:b/>
              </w:rPr>
            </w:pPr>
            <w:r>
              <w:rPr>
                <w:b/>
              </w:rPr>
              <w:t>Total</w:t>
            </w:r>
          </w:p>
        </w:tc>
        <w:tc>
          <w:tcPr>
            <w:tcW w:w="1530" w:type="dxa"/>
            <w:shd w:val="pct15" w:color="auto" w:fill="auto"/>
            <w:vAlign w:val="center"/>
          </w:tcPr>
          <w:p w14:paraId="62B38B90" w14:textId="77777777" w:rsidR="008C31A7" w:rsidRPr="00E3142F" w:rsidRDefault="008C31A7" w:rsidP="008C31A7">
            <w:pPr>
              <w:jc w:val="center"/>
              <w:rPr>
                <w:b/>
              </w:rPr>
            </w:pPr>
            <w:r>
              <w:rPr>
                <w:b/>
              </w:rPr>
              <w:t>Comparison to Benchmark</w:t>
            </w:r>
          </w:p>
        </w:tc>
      </w:tr>
      <w:tr w:rsidR="008C31A7" w14:paraId="4B12000E" w14:textId="77777777" w:rsidTr="00635F37">
        <w:trPr>
          <w:jc w:val="center"/>
        </w:trPr>
        <w:tc>
          <w:tcPr>
            <w:tcW w:w="2425" w:type="dxa"/>
            <w:vAlign w:val="center"/>
          </w:tcPr>
          <w:p w14:paraId="56CD0854" w14:textId="77777777" w:rsidR="008C31A7" w:rsidRPr="006C7B50" w:rsidRDefault="008C31A7" w:rsidP="008C31A7">
            <w:pPr>
              <w:rPr>
                <w:b/>
              </w:rPr>
            </w:pPr>
            <w:r>
              <w:rPr>
                <w:b/>
              </w:rPr>
              <w:t>Permanent Supportive Housing</w:t>
            </w:r>
          </w:p>
        </w:tc>
        <w:tc>
          <w:tcPr>
            <w:tcW w:w="990" w:type="dxa"/>
            <w:vAlign w:val="center"/>
          </w:tcPr>
          <w:p w14:paraId="12C55715" w14:textId="77777777" w:rsidR="00810EBF" w:rsidRPr="00E21AC0" w:rsidRDefault="00C22613" w:rsidP="008C31A7">
            <w:pPr>
              <w:jc w:val="center"/>
              <w:rPr>
                <w:b/>
              </w:rPr>
            </w:pPr>
            <w:r w:rsidRPr="00E21AC0">
              <w:rPr>
                <w:b/>
              </w:rPr>
              <w:t>37</w:t>
            </w:r>
          </w:p>
          <w:p w14:paraId="37AA8EEE" w14:textId="06918446" w:rsidR="008C31A7" w:rsidRPr="00E21AC0" w:rsidRDefault="00202F87" w:rsidP="008C31A7">
            <w:pPr>
              <w:jc w:val="center"/>
              <w:rPr>
                <w:b/>
              </w:rPr>
            </w:pPr>
            <w:r w:rsidRPr="00E21AC0">
              <w:rPr>
                <w:b/>
              </w:rPr>
              <w:t>M</w:t>
            </w:r>
            <w:r w:rsidR="008C31A7" w:rsidRPr="00E21AC0">
              <w:rPr>
                <w:b/>
              </w:rPr>
              <w:t>onths</w:t>
            </w:r>
          </w:p>
        </w:tc>
        <w:tc>
          <w:tcPr>
            <w:tcW w:w="1080" w:type="dxa"/>
          </w:tcPr>
          <w:p w14:paraId="253A132F" w14:textId="77777777" w:rsidR="00810EBF" w:rsidRPr="00E21AC0" w:rsidRDefault="00810EBF" w:rsidP="008C31A7">
            <w:pPr>
              <w:jc w:val="center"/>
              <w:rPr>
                <w:b/>
              </w:rPr>
            </w:pPr>
            <w:r w:rsidRPr="00E21AC0">
              <w:rPr>
                <w:b/>
              </w:rPr>
              <w:t>38</w:t>
            </w:r>
          </w:p>
          <w:p w14:paraId="3FFEB9EE" w14:textId="77777777" w:rsidR="008C31A7" w:rsidRPr="00E21AC0" w:rsidRDefault="008C31A7" w:rsidP="008C31A7">
            <w:pPr>
              <w:jc w:val="center"/>
              <w:rPr>
                <w:b/>
              </w:rPr>
            </w:pPr>
            <w:r w:rsidRPr="00E21AC0">
              <w:rPr>
                <w:b/>
              </w:rPr>
              <w:t>months</w:t>
            </w:r>
          </w:p>
        </w:tc>
        <w:tc>
          <w:tcPr>
            <w:tcW w:w="1080" w:type="dxa"/>
            <w:shd w:val="pct10" w:color="auto" w:fill="auto"/>
          </w:tcPr>
          <w:p w14:paraId="2A2FC0B8" w14:textId="77777777" w:rsidR="00810EBF" w:rsidRPr="00E21AC0" w:rsidRDefault="00C22613" w:rsidP="008C31A7">
            <w:pPr>
              <w:jc w:val="center"/>
              <w:rPr>
                <w:b/>
              </w:rPr>
            </w:pPr>
            <w:r w:rsidRPr="00E21AC0">
              <w:rPr>
                <w:b/>
              </w:rPr>
              <w:t>38</w:t>
            </w:r>
          </w:p>
          <w:p w14:paraId="050123D8" w14:textId="77777777" w:rsidR="008C31A7" w:rsidRPr="00E21AC0" w:rsidRDefault="008C31A7" w:rsidP="008C31A7">
            <w:pPr>
              <w:jc w:val="center"/>
              <w:rPr>
                <w:b/>
              </w:rPr>
            </w:pPr>
            <w:r w:rsidRPr="00E21AC0">
              <w:rPr>
                <w:b/>
              </w:rPr>
              <w:t>months</w:t>
            </w:r>
          </w:p>
        </w:tc>
        <w:tc>
          <w:tcPr>
            <w:tcW w:w="990" w:type="dxa"/>
            <w:vAlign w:val="center"/>
          </w:tcPr>
          <w:p w14:paraId="17C8D682" w14:textId="77777777" w:rsidR="008C31A7" w:rsidRPr="00E21AC0" w:rsidRDefault="008C31A7" w:rsidP="008C31A7">
            <w:pPr>
              <w:jc w:val="center"/>
              <w:rPr>
                <w:b/>
              </w:rPr>
            </w:pPr>
            <w:r w:rsidRPr="00E21AC0">
              <w:rPr>
                <w:b/>
              </w:rPr>
              <w:t>42 months</w:t>
            </w:r>
          </w:p>
        </w:tc>
        <w:tc>
          <w:tcPr>
            <w:tcW w:w="990" w:type="dxa"/>
          </w:tcPr>
          <w:p w14:paraId="0EDA062E" w14:textId="77777777" w:rsidR="008C31A7" w:rsidRPr="00E21AC0" w:rsidRDefault="008C31A7" w:rsidP="008C31A7">
            <w:pPr>
              <w:jc w:val="center"/>
              <w:rPr>
                <w:b/>
              </w:rPr>
            </w:pPr>
            <w:r w:rsidRPr="00E21AC0">
              <w:rPr>
                <w:b/>
              </w:rPr>
              <w:t>42 months</w:t>
            </w:r>
          </w:p>
        </w:tc>
        <w:tc>
          <w:tcPr>
            <w:tcW w:w="990" w:type="dxa"/>
            <w:shd w:val="pct10" w:color="auto" w:fill="auto"/>
          </w:tcPr>
          <w:p w14:paraId="5D2BDB17" w14:textId="77777777" w:rsidR="008C31A7" w:rsidRDefault="008C31A7" w:rsidP="008C31A7">
            <w:pPr>
              <w:jc w:val="center"/>
              <w:rPr>
                <w:b/>
              </w:rPr>
            </w:pPr>
            <w:r>
              <w:rPr>
                <w:b/>
              </w:rPr>
              <w:t>42 months</w:t>
            </w:r>
          </w:p>
        </w:tc>
        <w:tc>
          <w:tcPr>
            <w:tcW w:w="1530" w:type="dxa"/>
            <w:vAlign w:val="center"/>
          </w:tcPr>
          <w:p w14:paraId="7680ED06" w14:textId="77777777" w:rsidR="008C31A7" w:rsidRDefault="00E21AC0" w:rsidP="008C31A7">
            <w:pPr>
              <w:jc w:val="center"/>
              <w:rPr>
                <w:b/>
              </w:rPr>
            </w:pPr>
            <w:r>
              <w:rPr>
                <w:b/>
              </w:rPr>
              <w:t>4 month total de</w:t>
            </w:r>
            <w:r w:rsidR="008C31A7">
              <w:rPr>
                <w:b/>
              </w:rPr>
              <w:t>crease</w:t>
            </w:r>
          </w:p>
        </w:tc>
      </w:tr>
      <w:tr w:rsidR="008C31A7" w14:paraId="1CFA67CF" w14:textId="77777777" w:rsidTr="00635F37">
        <w:trPr>
          <w:jc w:val="center"/>
        </w:trPr>
        <w:tc>
          <w:tcPr>
            <w:tcW w:w="2425" w:type="dxa"/>
            <w:vAlign w:val="center"/>
          </w:tcPr>
          <w:p w14:paraId="0C99031D" w14:textId="77777777" w:rsidR="008C31A7" w:rsidRDefault="008C31A7" w:rsidP="008C31A7">
            <w:pPr>
              <w:rPr>
                <w:b/>
              </w:rPr>
            </w:pPr>
            <w:r>
              <w:rPr>
                <w:b/>
              </w:rPr>
              <w:t>Rapid Rehousing</w:t>
            </w:r>
          </w:p>
        </w:tc>
        <w:tc>
          <w:tcPr>
            <w:tcW w:w="990" w:type="dxa"/>
            <w:vAlign w:val="center"/>
          </w:tcPr>
          <w:p w14:paraId="651923D5" w14:textId="77777777" w:rsidR="008C31A7" w:rsidRPr="00E21AC0" w:rsidRDefault="00C902B4" w:rsidP="00516E96">
            <w:pPr>
              <w:jc w:val="center"/>
              <w:rPr>
                <w:b/>
              </w:rPr>
            </w:pPr>
            <w:r w:rsidRPr="00E21AC0">
              <w:rPr>
                <w:b/>
              </w:rPr>
              <w:t>N.A.</w:t>
            </w:r>
          </w:p>
        </w:tc>
        <w:tc>
          <w:tcPr>
            <w:tcW w:w="1080" w:type="dxa"/>
            <w:vAlign w:val="center"/>
          </w:tcPr>
          <w:p w14:paraId="10809A58" w14:textId="1AAE2DC3" w:rsidR="008C31A7" w:rsidRPr="00E21AC0" w:rsidRDefault="00635F37" w:rsidP="00516E96">
            <w:pPr>
              <w:jc w:val="center"/>
              <w:rPr>
                <w:b/>
              </w:rPr>
            </w:pPr>
            <w:r>
              <w:rPr>
                <w:b/>
              </w:rPr>
              <w:t>N.A.</w:t>
            </w:r>
          </w:p>
        </w:tc>
        <w:tc>
          <w:tcPr>
            <w:tcW w:w="1080" w:type="dxa"/>
            <w:shd w:val="pct10" w:color="auto" w:fill="auto"/>
            <w:vAlign w:val="center"/>
          </w:tcPr>
          <w:p w14:paraId="30ADCE07" w14:textId="0AF3D221" w:rsidR="008C31A7" w:rsidRPr="00E21AC0" w:rsidRDefault="00635F37" w:rsidP="00516E96">
            <w:pPr>
              <w:jc w:val="center"/>
              <w:rPr>
                <w:b/>
              </w:rPr>
            </w:pPr>
            <w:r>
              <w:rPr>
                <w:b/>
              </w:rPr>
              <w:t>N.A.</w:t>
            </w:r>
          </w:p>
        </w:tc>
        <w:tc>
          <w:tcPr>
            <w:tcW w:w="990" w:type="dxa"/>
            <w:vAlign w:val="center"/>
          </w:tcPr>
          <w:p w14:paraId="16C5B4E4" w14:textId="77777777" w:rsidR="008C31A7" w:rsidRPr="00E21AC0" w:rsidRDefault="008C31A7" w:rsidP="00516E96">
            <w:pPr>
              <w:jc w:val="center"/>
              <w:rPr>
                <w:b/>
              </w:rPr>
            </w:pPr>
            <w:r w:rsidRPr="00E21AC0">
              <w:rPr>
                <w:b/>
              </w:rPr>
              <w:t>N.A.</w:t>
            </w:r>
          </w:p>
        </w:tc>
        <w:tc>
          <w:tcPr>
            <w:tcW w:w="990" w:type="dxa"/>
            <w:vAlign w:val="center"/>
          </w:tcPr>
          <w:p w14:paraId="39B95A35" w14:textId="77777777" w:rsidR="008C31A7" w:rsidRPr="00E21AC0" w:rsidRDefault="008C31A7" w:rsidP="00516E96">
            <w:pPr>
              <w:jc w:val="center"/>
              <w:rPr>
                <w:b/>
              </w:rPr>
            </w:pPr>
            <w:r w:rsidRPr="00E21AC0">
              <w:rPr>
                <w:b/>
              </w:rPr>
              <w:t>N.A.</w:t>
            </w:r>
          </w:p>
        </w:tc>
        <w:tc>
          <w:tcPr>
            <w:tcW w:w="990" w:type="dxa"/>
            <w:shd w:val="pct10" w:color="auto" w:fill="auto"/>
            <w:vAlign w:val="center"/>
          </w:tcPr>
          <w:p w14:paraId="16C672C1" w14:textId="77777777" w:rsidR="008C31A7" w:rsidRDefault="008C31A7" w:rsidP="00516E96">
            <w:pPr>
              <w:jc w:val="center"/>
              <w:rPr>
                <w:b/>
              </w:rPr>
            </w:pPr>
            <w:r>
              <w:rPr>
                <w:b/>
              </w:rPr>
              <w:t>N.A.</w:t>
            </w:r>
          </w:p>
        </w:tc>
        <w:tc>
          <w:tcPr>
            <w:tcW w:w="1530" w:type="dxa"/>
            <w:vAlign w:val="center"/>
          </w:tcPr>
          <w:p w14:paraId="562D253D" w14:textId="3BC07913" w:rsidR="008C31A7" w:rsidRDefault="00516E96" w:rsidP="00516E96">
            <w:pPr>
              <w:jc w:val="center"/>
              <w:rPr>
                <w:b/>
              </w:rPr>
            </w:pPr>
            <w:r>
              <w:rPr>
                <w:b/>
              </w:rPr>
              <w:t>Not enough data for comparison</w:t>
            </w:r>
          </w:p>
        </w:tc>
      </w:tr>
      <w:tr w:rsidR="008C31A7" w14:paraId="264DCD32" w14:textId="77777777" w:rsidTr="00635F37">
        <w:trPr>
          <w:jc w:val="center"/>
        </w:trPr>
        <w:tc>
          <w:tcPr>
            <w:tcW w:w="2425" w:type="dxa"/>
            <w:vAlign w:val="center"/>
          </w:tcPr>
          <w:p w14:paraId="4D6D3116" w14:textId="77777777" w:rsidR="008C31A7" w:rsidRDefault="008C31A7" w:rsidP="008C31A7">
            <w:pPr>
              <w:rPr>
                <w:b/>
              </w:rPr>
            </w:pPr>
            <w:r>
              <w:rPr>
                <w:b/>
              </w:rPr>
              <w:t>Transitional Housing</w:t>
            </w:r>
          </w:p>
        </w:tc>
        <w:tc>
          <w:tcPr>
            <w:tcW w:w="990" w:type="dxa"/>
            <w:vAlign w:val="center"/>
          </w:tcPr>
          <w:p w14:paraId="7100FE5E" w14:textId="77777777" w:rsidR="008C31A7" w:rsidRPr="00E21AC0" w:rsidRDefault="00AB3CC3" w:rsidP="008C31A7">
            <w:pPr>
              <w:jc w:val="center"/>
              <w:rPr>
                <w:b/>
              </w:rPr>
            </w:pPr>
            <w:r w:rsidRPr="00E21AC0">
              <w:rPr>
                <w:b/>
              </w:rPr>
              <w:t>16</w:t>
            </w:r>
          </w:p>
          <w:p w14:paraId="4E2B5322" w14:textId="7434A3B0" w:rsidR="008C31A7" w:rsidRPr="00E21AC0" w:rsidRDefault="008C31A7" w:rsidP="008C31A7">
            <w:pPr>
              <w:jc w:val="center"/>
              <w:rPr>
                <w:b/>
              </w:rPr>
            </w:pPr>
            <w:r w:rsidRPr="00E21AC0">
              <w:rPr>
                <w:b/>
              </w:rPr>
              <w:t xml:space="preserve"> </w:t>
            </w:r>
            <w:r w:rsidR="00202F87" w:rsidRPr="00E21AC0">
              <w:rPr>
                <w:b/>
              </w:rPr>
              <w:t>M</w:t>
            </w:r>
            <w:r w:rsidRPr="00E21AC0">
              <w:rPr>
                <w:b/>
              </w:rPr>
              <w:t>onths</w:t>
            </w:r>
          </w:p>
        </w:tc>
        <w:tc>
          <w:tcPr>
            <w:tcW w:w="1080" w:type="dxa"/>
          </w:tcPr>
          <w:p w14:paraId="6F212A46" w14:textId="77777777" w:rsidR="008C31A7" w:rsidRPr="00E21AC0" w:rsidRDefault="00AB3CC3" w:rsidP="008C31A7">
            <w:pPr>
              <w:jc w:val="center"/>
              <w:rPr>
                <w:b/>
              </w:rPr>
            </w:pPr>
            <w:r w:rsidRPr="00E21AC0">
              <w:rPr>
                <w:b/>
              </w:rPr>
              <w:t>12</w:t>
            </w:r>
          </w:p>
          <w:p w14:paraId="665FA0FC" w14:textId="77777777" w:rsidR="008C31A7" w:rsidRPr="00E21AC0" w:rsidRDefault="008C31A7" w:rsidP="008C31A7">
            <w:pPr>
              <w:jc w:val="center"/>
              <w:rPr>
                <w:b/>
              </w:rPr>
            </w:pPr>
            <w:r w:rsidRPr="00E21AC0">
              <w:rPr>
                <w:b/>
              </w:rPr>
              <w:t xml:space="preserve"> months</w:t>
            </w:r>
          </w:p>
        </w:tc>
        <w:tc>
          <w:tcPr>
            <w:tcW w:w="1080" w:type="dxa"/>
            <w:shd w:val="pct10" w:color="auto" w:fill="auto"/>
          </w:tcPr>
          <w:p w14:paraId="7DAFD090" w14:textId="77777777" w:rsidR="008C31A7" w:rsidRPr="00E21AC0" w:rsidRDefault="00AB3CC3" w:rsidP="008C31A7">
            <w:pPr>
              <w:jc w:val="center"/>
              <w:rPr>
                <w:b/>
              </w:rPr>
            </w:pPr>
            <w:r w:rsidRPr="00E21AC0">
              <w:rPr>
                <w:b/>
              </w:rPr>
              <w:t>14</w:t>
            </w:r>
          </w:p>
          <w:p w14:paraId="5CE12F87" w14:textId="77777777" w:rsidR="008C31A7" w:rsidRPr="00E21AC0" w:rsidRDefault="008C31A7" w:rsidP="008C31A7">
            <w:pPr>
              <w:jc w:val="center"/>
              <w:rPr>
                <w:b/>
              </w:rPr>
            </w:pPr>
            <w:r w:rsidRPr="00E21AC0">
              <w:rPr>
                <w:b/>
              </w:rPr>
              <w:t xml:space="preserve"> months</w:t>
            </w:r>
          </w:p>
        </w:tc>
        <w:tc>
          <w:tcPr>
            <w:tcW w:w="990" w:type="dxa"/>
            <w:vAlign w:val="center"/>
          </w:tcPr>
          <w:p w14:paraId="45E93AC4" w14:textId="77777777" w:rsidR="008C31A7" w:rsidRPr="00E21AC0" w:rsidRDefault="008C31A7" w:rsidP="008C31A7">
            <w:pPr>
              <w:jc w:val="center"/>
              <w:rPr>
                <w:b/>
              </w:rPr>
            </w:pPr>
            <w:r w:rsidRPr="00E21AC0">
              <w:rPr>
                <w:b/>
              </w:rPr>
              <w:t>15 months</w:t>
            </w:r>
          </w:p>
        </w:tc>
        <w:tc>
          <w:tcPr>
            <w:tcW w:w="990" w:type="dxa"/>
          </w:tcPr>
          <w:p w14:paraId="1F803A30" w14:textId="77777777" w:rsidR="008C31A7" w:rsidRPr="00E21AC0" w:rsidRDefault="008C31A7" w:rsidP="008C31A7">
            <w:pPr>
              <w:jc w:val="center"/>
              <w:rPr>
                <w:b/>
              </w:rPr>
            </w:pPr>
            <w:r w:rsidRPr="00E21AC0">
              <w:rPr>
                <w:b/>
              </w:rPr>
              <w:t>10 months</w:t>
            </w:r>
          </w:p>
        </w:tc>
        <w:tc>
          <w:tcPr>
            <w:tcW w:w="990" w:type="dxa"/>
            <w:shd w:val="pct10" w:color="auto" w:fill="auto"/>
          </w:tcPr>
          <w:p w14:paraId="1544F3C5" w14:textId="77777777" w:rsidR="008C31A7" w:rsidRDefault="008C31A7" w:rsidP="008C31A7">
            <w:pPr>
              <w:jc w:val="center"/>
              <w:rPr>
                <w:b/>
              </w:rPr>
            </w:pPr>
            <w:r>
              <w:rPr>
                <w:b/>
              </w:rPr>
              <w:t>12 months</w:t>
            </w:r>
          </w:p>
        </w:tc>
        <w:tc>
          <w:tcPr>
            <w:tcW w:w="1530" w:type="dxa"/>
            <w:vAlign w:val="center"/>
          </w:tcPr>
          <w:p w14:paraId="1148861D" w14:textId="77777777" w:rsidR="008C31A7" w:rsidRDefault="008C31A7" w:rsidP="008C31A7">
            <w:pPr>
              <w:jc w:val="center"/>
              <w:rPr>
                <w:b/>
              </w:rPr>
            </w:pPr>
            <w:r>
              <w:rPr>
                <w:b/>
              </w:rPr>
              <w:t>2 month total increase</w:t>
            </w:r>
          </w:p>
        </w:tc>
      </w:tr>
      <w:tr w:rsidR="008C31A7" w14:paraId="69FE675C" w14:textId="77777777" w:rsidTr="00B23A47">
        <w:trPr>
          <w:jc w:val="center"/>
        </w:trPr>
        <w:tc>
          <w:tcPr>
            <w:tcW w:w="2425" w:type="dxa"/>
            <w:vAlign w:val="center"/>
          </w:tcPr>
          <w:p w14:paraId="11C5B5A8" w14:textId="77777777" w:rsidR="008C31A7" w:rsidRDefault="008C31A7" w:rsidP="008C31A7">
            <w:pPr>
              <w:rPr>
                <w:b/>
              </w:rPr>
            </w:pPr>
            <w:r>
              <w:rPr>
                <w:b/>
              </w:rPr>
              <w:t>Safe Haven</w:t>
            </w:r>
          </w:p>
        </w:tc>
        <w:tc>
          <w:tcPr>
            <w:tcW w:w="990" w:type="dxa"/>
            <w:vAlign w:val="center"/>
          </w:tcPr>
          <w:p w14:paraId="68D6B43D" w14:textId="77777777" w:rsidR="008C31A7" w:rsidRPr="00E21AC0" w:rsidRDefault="00C902B4" w:rsidP="008C31A7">
            <w:pPr>
              <w:jc w:val="center"/>
              <w:rPr>
                <w:b/>
              </w:rPr>
            </w:pPr>
            <w:r w:rsidRPr="00E21AC0">
              <w:rPr>
                <w:b/>
              </w:rPr>
              <w:t>5</w:t>
            </w:r>
          </w:p>
          <w:p w14:paraId="0FCD6992" w14:textId="77777777" w:rsidR="008C31A7" w:rsidRPr="00E21AC0" w:rsidRDefault="008C31A7" w:rsidP="008C31A7">
            <w:pPr>
              <w:jc w:val="center"/>
              <w:rPr>
                <w:b/>
              </w:rPr>
            </w:pPr>
            <w:r w:rsidRPr="00E21AC0">
              <w:rPr>
                <w:b/>
              </w:rPr>
              <w:t xml:space="preserve"> months</w:t>
            </w:r>
          </w:p>
        </w:tc>
        <w:tc>
          <w:tcPr>
            <w:tcW w:w="1080" w:type="dxa"/>
          </w:tcPr>
          <w:p w14:paraId="5657BE9C" w14:textId="77777777" w:rsidR="008C31A7" w:rsidRPr="00E21AC0" w:rsidRDefault="00C902B4" w:rsidP="008C31A7">
            <w:pPr>
              <w:jc w:val="center"/>
              <w:rPr>
                <w:b/>
              </w:rPr>
            </w:pPr>
            <w:r w:rsidRPr="00E21AC0">
              <w:rPr>
                <w:b/>
              </w:rPr>
              <w:t>16</w:t>
            </w:r>
          </w:p>
          <w:p w14:paraId="7F3845D4" w14:textId="77777777" w:rsidR="008C31A7" w:rsidRPr="00E21AC0" w:rsidRDefault="008C31A7" w:rsidP="008C31A7">
            <w:pPr>
              <w:jc w:val="center"/>
              <w:rPr>
                <w:b/>
              </w:rPr>
            </w:pPr>
            <w:r w:rsidRPr="00E21AC0">
              <w:rPr>
                <w:b/>
              </w:rPr>
              <w:t xml:space="preserve"> months</w:t>
            </w:r>
          </w:p>
        </w:tc>
        <w:tc>
          <w:tcPr>
            <w:tcW w:w="1080" w:type="dxa"/>
            <w:shd w:val="pct10" w:color="auto" w:fill="auto"/>
          </w:tcPr>
          <w:p w14:paraId="2CDBCA15" w14:textId="77777777" w:rsidR="008C31A7" w:rsidRPr="00E21AC0" w:rsidRDefault="00C902B4" w:rsidP="008C31A7">
            <w:pPr>
              <w:jc w:val="center"/>
              <w:rPr>
                <w:b/>
              </w:rPr>
            </w:pPr>
            <w:r w:rsidRPr="00E21AC0">
              <w:rPr>
                <w:b/>
              </w:rPr>
              <w:t>13</w:t>
            </w:r>
          </w:p>
          <w:p w14:paraId="06E4490C" w14:textId="77777777" w:rsidR="008C31A7" w:rsidRPr="00E21AC0" w:rsidRDefault="008C31A7" w:rsidP="008C31A7">
            <w:pPr>
              <w:jc w:val="center"/>
              <w:rPr>
                <w:b/>
              </w:rPr>
            </w:pPr>
            <w:r w:rsidRPr="00E21AC0">
              <w:rPr>
                <w:b/>
              </w:rPr>
              <w:t xml:space="preserve"> months</w:t>
            </w:r>
          </w:p>
        </w:tc>
        <w:tc>
          <w:tcPr>
            <w:tcW w:w="990" w:type="dxa"/>
            <w:vAlign w:val="center"/>
          </w:tcPr>
          <w:p w14:paraId="7ED2F46C" w14:textId="77777777" w:rsidR="008C31A7" w:rsidRPr="00E21AC0" w:rsidRDefault="008C31A7" w:rsidP="008C31A7">
            <w:pPr>
              <w:jc w:val="center"/>
              <w:rPr>
                <w:b/>
              </w:rPr>
            </w:pPr>
            <w:r w:rsidRPr="00E21AC0">
              <w:rPr>
                <w:b/>
              </w:rPr>
              <w:t>13 months</w:t>
            </w:r>
          </w:p>
        </w:tc>
        <w:tc>
          <w:tcPr>
            <w:tcW w:w="990" w:type="dxa"/>
          </w:tcPr>
          <w:p w14:paraId="7DF7D3BC" w14:textId="77777777" w:rsidR="008C31A7" w:rsidRPr="00E21AC0" w:rsidRDefault="008C31A7" w:rsidP="008C31A7">
            <w:pPr>
              <w:jc w:val="center"/>
              <w:rPr>
                <w:b/>
              </w:rPr>
            </w:pPr>
            <w:r w:rsidRPr="00E21AC0">
              <w:rPr>
                <w:b/>
              </w:rPr>
              <w:t>10 months</w:t>
            </w:r>
          </w:p>
        </w:tc>
        <w:tc>
          <w:tcPr>
            <w:tcW w:w="990" w:type="dxa"/>
            <w:shd w:val="pct10" w:color="auto" w:fill="auto"/>
            <w:vAlign w:val="center"/>
          </w:tcPr>
          <w:p w14:paraId="2782C0EB" w14:textId="77777777" w:rsidR="008C31A7" w:rsidRDefault="008C31A7" w:rsidP="008C31A7">
            <w:pPr>
              <w:jc w:val="center"/>
              <w:rPr>
                <w:b/>
              </w:rPr>
            </w:pPr>
            <w:r>
              <w:rPr>
                <w:b/>
              </w:rPr>
              <w:t>12 months</w:t>
            </w:r>
          </w:p>
        </w:tc>
        <w:tc>
          <w:tcPr>
            <w:tcW w:w="1530" w:type="dxa"/>
            <w:vAlign w:val="center"/>
          </w:tcPr>
          <w:p w14:paraId="5E2FC751" w14:textId="77777777" w:rsidR="008C31A7" w:rsidRDefault="008C31A7" w:rsidP="008C31A7">
            <w:pPr>
              <w:jc w:val="center"/>
              <w:rPr>
                <w:b/>
              </w:rPr>
            </w:pPr>
            <w:r>
              <w:rPr>
                <w:b/>
              </w:rPr>
              <w:t>1 month total increase</w:t>
            </w:r>
          </w:p>
        </w:tc>
      </w:tr>
      <w:tr w:rsidR="008C31A7" w14:paraId="6256D6FC" w14:textId="77777777" w:rsidTr="00635F37">
        <w:trPr>
          <w:jc w:val="center"/>
        </w:trPr>
        <w:tc>
          <w:tcPr>
            <w:tcW w:w="2425" w:type="dxa"/>
            <w:vAlign w:val="center"/>
          </w:tcPr>
          <w:p w14:paraId="5FD014B4" w14:textId="77777777" w:rsidR="008C31A7" w:rsidRDefault="008C31A7" w:rsidP="008C31A7">
            <w:pPr>
              <w:rPr>
                <w:b/>
              </w:rPr>
            </w:pPr>
            <w:r>
              <w:rPr>
                <w:b/>
              </w:rPr>
              <w:t>Emergency Shelter</w:t>
            </w:r>
          </w:p>
          <w:p w14:paraId="4CB726E4" w14:textId="77777777" w:rsidR="008C31A7" w:rsidRDefault="008C31A7" w:rsidP="008C31A7">
            <w:pPr>
              <w:rPr>
                <w:b/>
              </w:rPr>
            </w:pPr>
            <w:r>
              <w:rPr>
                <w:b/>
              </w:rPr>
              <w:t>(Leavers &amp; Stayers)</w:t>
            </w:r>
          </w:p>
        </w:tc>
        <w:tc>
          <w:tcPr>
            <w:tcW w:w="3150" w:type="dxa"/>
            <w:gridSpan w:val="3"/>
            <w:vAlign w:val="center"/>
          </w:tcPr>
          <w:p w14:paraId="295BC914" w14:textId="77777777" w:rsidR="008C31A7" w:rsidRPr="00E21AC0" w:rsidRDefault="00C612EA" w:rsidP="008C31A7">
            <w:pPr>
              <w:jc w:val="center"/>
              <w:rPr>
                <w:b/>
              </w:rPr>
            </w:pPr>
            <w:r w:rsidRPr="00E21AC0">
              <w:rPr>
                <w:b/>
              </w:rPr>
              <w:t>6</w:t>
            </w:r>
            <w:r w:rsidR="00A15484" w:rsidRPr="00E21AC0">
              <w:rPr>
                <w:b/>
              </w:rPr>
              <w:t>0</w:t>
            </w:r>
            <w:r w:rsidRPr="00E21AC0">
              <w:rPr>
                <w:b/>
              </w:rPr>
              <w:t xml:space="preserve"> DAYS</w:t>
            </w:r>
          </w:p>
        </w:tc>
        <w:tc>
          <w:tcPr>
            <w:tcW w:w="2970" w:type="dxa"/>
            <w:gridSpan w:val="3"/>
            <w:vAlign w:val="center"/>
          </w:tcPr>
          <w:p w14:paraId="413DCC59" w14:textId="77777777" w:rsidR="008C31A7" w:rsidRPr="00E21AC0" w:rsidRDefault="00C612EA" w:rsidP="008C31A7">
            <w:pPr>
              <w:jc w:val="center"/>
              <w:rPr>
                <w:b/>
              </w:rPr>
            </w:pPr>
            <w:r w:rsidRPr="00E21AC0">
              <w:rPr>
                <w:b/>
              </w:rPr>
              <w:t>61</w:t>
            </w:r>
            <w:r w:rsidR="008C31A7" w:rsidRPr="00E21AC0">
              <w:rPr>
                <w:b/>
              </w:rPr>
              <w:t xml:space="preserve"> days</w:t>
            </w:r>
          </w:p>
        </w:tc>
        <w:tc>
          <w:tcPr>
            <w:tcW w:w="1530" w:type="dxa"/>
            <w:vAlign w:val="center"/>
          </w:tcPr>
          <w:p w14:paraId="7AD54221" w14:textId="77777777" w:rsidR="008C31A7" w:rsidRDefault="00E21AC0" w:rsidP="008C31A7">
            <w:pPr>
              <w:jc w:val="center"/>
              <w:rPr>
                <w:b/>
              </w:rPr>
            </w:pPr>
            <w:r>
              <w:rPr>
                <w:b/>
              </w:rPr>
              <w:t>1 day de</w:t>
            </w:r>
            <w:r w:rsidR="008C31A7">
              <w:rPr>
                <w:b/>
              </w:rPr>
              <w:t>crease</w:t>
            </w:r>
          </w:p>
        </w:tc>
      </w:tr>
    </w:tbl>
    <w:p w14:paraId="225EDAE8" w14:textId="77777777" w:rsidR="00320A50" w:rsidRDefault="00320A50" w:rsidP="0002291D">
      <w:pPr>
        <w:tabs>
          <w:tab w:val="left" w:pos="4050"/>
        </w:tabs>
        <w:spacing w:after="0" w:line="240" w:lineRule="auto"/>
        <w:rPr>
          <w:b/>
          <w:color w:val="4F81BD" w:themeColor="accent1"/>
          <w:sz w:val="24"/>
          <w:szCs w:val="24"/>
        </w:rPr>
      </w:pPr>
    </w:p>
    <w:p w14:paraId="7D6C772C" w14:textId="77777777" w:rsidR="00214248" w:rsidRDefault="005E2E33" w:rsidP="00B9462A">
      <w:pPr>
        <w:spacing w:after="0" w:line="240" w:lineRule="auto"/>
        <w:rPr>
          <w:b/>
          <w:sz w:val="24"/>
          <w:szCs w:val="24"/>
        </w:rPr>
      </w:pPr>
      <w:r w:rsidRPr="005E2E33">
        <w:rPr>
          <w:b/>
          <w:sz w:val="24"/>
          <w:szCs w:val="24"/>
        </w:rPr>
        <w:lastRenderedPageBreak/>
        <w:t>Exits to Permanent Housing</w:t>
      </w:r>
      <w:r w:rsidR="00335019">
        <w:rPr>
          <w:b/>
          <w:sz w:val="24"/>
          <w:szCs w:val="24"/>
        </w:rPr>
        <w:t xml:space="preserve"> – Includes Only Continuum of Care Funded Programs</w:t>
      </w:r>
    </w:p>
    <w:p w14:paraId="4524C45A" w14:textId="77777777" w:rsidR="00F45364" w:rsidRDefault="00F45364" w:rsidP="00F45364">
      <w:pPr>
        <w:spacing w:after="0" w:line="240" w:lineRule="auto"/>
        <w:rPr>
          <w:b/>
          <w:sz w:val="24"/>
          <w:szCs w:val="24"/>
        </w:rPr>
      </w:pPr>
      <w:r>
        <w:rPr>
          <w:b/>
          <w:sz w:val="24"/>
          <w:szCs w:val="24"/>
        </w:rPr>
        <w:t>Benchmark Data: Program Year 2013</w:t>
      </w:r>
    </w:p>
    <w:p w14:paraId="2E8D83CB" w14:textId="77777777" w:rsidR="002433BE" w:rsidRDefault="002433BE" w:rsidP="00F45364">
      <w:pPr>
        <w:spacing w:after="0" w:line="240" w:lineRule="auto"/>
        <w:rPr>
          <w:b/>
          <w:sz w:val="24"/>
          <w:szCs w:val="24"/>
        </w:rPr>
      </w:pPr>
    </w:p>
    <w:p w14:paraId="0605C716" w14:textId="64D40F47" w:rsidR="002433BE" w:rsidRDefault="002433BE" w:rsidP="00F45364">
      <w:pPr>
        <w:spacing w:after="0" w:line="240" w:lineRule="auto"/>
        <w:rPr>
          <w:sz w:val="24"/>
          <w:szCs w:val="24"/>
        </w:rPr>
      </w:pPr>
      <w:r>
        <w:rPr>
          <w:sz w:val="24"/>
          <w:szCs w:val="24"/>
        </w:rPr>
        <w:t>Exits to Permanent Housing measure</w:t>
      </w:r>
      <w:r w:rsidR="00635F37">
        <w:rPr>
          <w:sz w:val="24"/>
          <w:szCs w:val="24"/>
        </w:rPr>
        <w:t>s</w:t>
      </w:r>
      <w:r>
        <w:rPr>
          <w:sz w:val="24"/>
          <w:szCs w:val="24"/>
        </w:rPr>
        <w:t xml:space="preserve"> how successful homeless service providers are in transitioning clients out of their program and into a permanent housing situation.  Baseline data for this measure is from Program Year 2013, based on the annual HUD program year, October 1, 2012 – September 30, 2013.  Current data includes the Year to Date quarterly data</w:t>
      </w:r>
      <w:r w:rsidR="00320A50">
        <w:rPr>
          <w:sz w:val="24"/>
          <w:szCs w:val="24"/>
        </w:rPr>
        <w:t xml:space="preserve"> which</w:t>
      </w:r>
      <w:r>
        <w:rPr>
          <w:sz w:val="24"/>
          <w:szCs w:val="24"/>
        </w:rPr>
        <w:t xml:space="preserve"> includes data from </w:t>
      </w:r>
      <w:r w:rsidR="00320A50">
        <w:rPr>
          <w:sz w:val="24"/>
          <w:szCs w:val="24"/>
        </w:rPr>
        <w:t>October</w:t>
      </w:r>
      <w:r>
        <w:rPr>
          <w:sz w:val="24"/>
          <w:szCs w:val="24"/>
        </w:rPr>
        <w:t xml:space="preserve"> 1, 201</w:t>
      </w:r>
      <w:r w:rsidR="00320A50">
        <w:rPr>
          <w:sz w:val="24"/>
          <w:szCs w:val="24"/>
        </w:rPr>
        <w:t>3</w:t>
      </w:r>
      <w:r>
        <w:rPr>
          <w:sz w:val="24"/>
          <w:szCs w:val="24"/>
        </w:rPr>
        <w:t xml:space="preserve"> – June 30, 2014.  </w:t>
      </w:r>
    </w:p>
    <w:p w14:paraId="72E1D09E" w14:textId="77777777" w:rsidR="000C4744" w:rsidRPr="002433BE" w:rsidRDefault="000C4744" w:rsidP="00F45364">
      <w:pPr>
        <w:spacing w:after="0" w:line="240" w:lineRule="auto"/>
        <w:rPr>
          <w:sz w:val="24"/>
          <w:szCs w:val="24"/>
        </w:rPr>
      </w:pPr>
    </w:p>
    <w:p w14:paraId="26B33D48" w14:textId="77777777" w:rsidR="009A0805" w:rsidRPr="005E2E33" w:rsidRDefault="009A0805" w:rsidP="00B9462A">
      <w:pPr>
        <w:spacing w:after="0" w:line="240" w:lineRule="auto"/>
        <w:rPr>
          <w:b/>
          <w:sz w:val="24"/>
          <w:szCs w:val="24"/>
        </w:rPr>
      </w:pPr>
    </w:p>
    <w:tbl>
      <w:tblPr>
        <w:tblStyle w:val="TableGrid"/>
        <w:tblW w:w="0" w:type="auto"/>
        <w:jc w:val="center"/>
        <w:tblLayout w:type="fixed"/>
        <w:tblLook w:val="04A0" w:firstRow="1" w:lastRow="0" w:firstColumn="1" w:lastColumn="0" w:noHBand="0" w:noVBand="1"/>
      </w:tblPr>
      <w:tblGrid>
        <w:gridCol w:w="2160"/>
        <w:gridCol w:w="1170"/>
        <w:gridCol w:w="1080"/>
        <w:gridCol w:w="810"/>
        <w:gridCol w:w="1260"/>
        <w:gridCol w:w="1170"/>
        <w:gridCol w:w="900"/>
        <w:gridCol w:w="1710"/>
      </w:tblGrid>
      <w:tr w:rsidR="008C31A7" w14:paraId="2B4A0691" w14:textId="77777777" w:rsidTr="00B23A47">
        <w:trPr>
          <w:jc w:val="center"/>
        </w:trPr>
        <w:tc>
          <w:tcPr>
            <w:tcW w:w="2160" w:type="dxa"/>
            <w:shd w:val="pct15" w:color="auto" w:fill="auto"/>
            <w:vAlign w:val="center"/>
          </w:tcPr>
          <w:p w14:paraId="4542C607" w14:textId="77777777" w:rsidR="008C31A7" w:rsidRPr="006C7B50" w:rsidRDefault="008C31A7" w:rsidP="008C31A7">
            <w:pPr>
              <w:jc w:val="center"/>
              <w:rPr>
                <w:b/>
              </w:rPr>
            </w:pPr>
            <w:r>
              <w:rPr>
                <w:b/>
              </w:rPr>
              <w:t>Measure</w:t>
            </w:r>
          </w:p>
        </w:tc>
        <w:tc>
          <w:tcPr>
            <w:tcW w:w="3060" w:type="dxa"/>
            <w:gridSpan w:val="3"/>
            <w:shd w:val="pct15" w:color="auto" w:fill="auto"/>
            <w:vAlign w:val="center"/>
          </w:tcPr>
          <w:p w14:paraId="2DB3D056" w14:textId="77777777" w:rsidR="008C31A7" w:rsidRDefault="008C31A7" w:rsidP="008C31A7">
            <w:pPr>
              <w:jc w:val="center"/>
              <w:rPr>
                <w:b/>
              </w:rPr>
            </w:pPr>
            <w:r>
              <w:rPr>
                <w:b/>
              </w:rPr>
              <w:t xml:space="preserve">QPR </w:t>
            </w:r>
          </w:p>
        </w:tc>
        <w:tc>
          <w:tcPr>
            <w:tcW w:w="3330" w:type="dxa"/>
            <w:gridSpan w:val="3"/>
            <w:shd w:val="pct15" w:color="auto" w:fill="auto"/>
            <w:vAlign w:val="center"/>
          </w:tcPr>
          <w:p w14:paraId="664C4C41" w14:textId="77777777" w:rsidR="008C31A7" w:rsidRDefault="008C31A7" w:rsidP="008C31A7">
            <w:pPr>
              <w:jc w:val="center"/>
              <w:rPr>
                <w:b/>
              </w:rPr>
            </w:pPr>
            <w:r>
              <w:rPr>
                <w:b/>
              </w:rPr>
              <w:t xml:space="preserve">PY2013 Rate </w:t>
            </w:r>
          </w:p>
        </w:tc>
        <w:tc>
          <w:tcPr>
            <w:tcW w:w="1710" w:type="dxa"/>
            <w:shd w:val="pct15" w:color="auto" w:fill="auto"/>
            <w:vAlign w:val="center"/>
          </w:tcPr>
          <w:p w14:paraId="181651BA" w14:textId="77777777" w:rsidR="008C31A7" w:rsidRPr="00E3142F" w:rsidRDefault="008C31A7" w:rsidP="008C31A7">
            <w:pPr>
              <w:jc w:val="center"/>
              <w:rPr>
                <w:b/>
              </w:rPr>
            </w:pPr>
            <w:r>
              <w:rPr>
                <w:b/>
              </w:rPr>
              <w:t>Comparison to Benchmark</w:t>
            </w:r>
          </w:p>
        </w:tc>
      </w:tr>
      <w:tr w:rsidR="008C31A7" w14:paraId="021DABE5" w14:textId="77777777" w:rsidTr="00FE44C4">
        <w:trPr>
          <w:jc w:val="center"/>
        </w:trPr>
        <w:tc>
          <w:tcPr>
            <w:tcW w:w="2160" w:type="dxa"/>
            <w:vAlign w:val="center"/>
          </w:tcPr>
          <w:p w14:paraId="51EAB2C7" w14:textId="77777777" w:rsidR="008C31A7" w:rsidRPr="000C4744" w:rsidRDefault="008C31A7" w:rsidP="008C31A7">
            <w:pPr>
              <w:rPr>
                <w:b/>
              </w:rPr>
            </w:pPr>
            <w:r w:rsidRPr="000C4744">
              <w:rPr>
                <w:b/>
              </w:rPr>
              <w:t>Permanent Supportive Housing</w:t>
            </w:r>
          </w:p>
        </w:tc>
        <w:tc>
          <w:tcPr>
            <w:tcW w:w="1170" w:type="dxa"/>
            <w:vAlign w:val="center"/>
          </w:tcPr>
          <w:p w14:paraId="65A5C7C6" w14:textId="6D15FB10" w:rsidR="00635F37" w:rsidRDefault="00810EBF" w:rsidP="00635F37">
            <w:pPr>
              <w:jc w:val="center"/>
              <w:rPr>
                <w:b/>
              </w:rPr>
            </w:pPr>
            <w:r w:rsidRPr="000C4744">
              <w:rPr>
                <w:b/>
              </w:rPr>
              <w:t>8</w:t>
            </w:r>
            <w:r w:rsidR="00A45D10" w:rsidRPr="000C4744">
              <w:rPr>
                <w:b/>
              </w:rPr>
              <w:t>4</w:t>
            </w:r>
            <w:r w:rsidR="00635F37">
              <w:rPr>
                <w:b/>
              </w:rPr>
              <w:t xml:space="preserve"> </w:t>
            </w:r>
            <w:r w:rsidR="008C31A7" w:rsidRPr="000C4744">
              <w:rPr>
                <w:b/>
              </w:rPr>
              <w:t xml:space="preserve">leavers </w:t>
            </w:r>
          </w:p>
          <w:p w14:paraId="377BDD7A" w14:textId="23EDEFF1" w:rsidR="008C31A7" w:rsidRPr="000C4744" w:rsidRDefault="008C31A7" w:rsidP="008C31A7">
            <w:pPr>
              <w:jc w:val="center"/>
              <w:rPr>
                <w:b/>
              </w:rPr>
            </w:pPr>
            <w:r w:rsidRPr="000C4744">
              <w:rPr>
                <w:b/>
              </w:rPr>
              <w:t xml:space="preserve">to PH </w:t>
            </w:r>
          </w:p>
        </w:tc>
        <w:tc>
          <w:tcPr>
            <w:tcW w:w="1080" w:type="dxa"/>
            <w:vAlign w:val="center"/>
          </w:tcPr>
          <w:p w14:paraId="77CF8CF9" w14:textId="5CFBDBFA" w:rsidR="008C31A7" w:rsidRPr="000C4744" w:rsidRDefault="00A45D10" w:rsidP="00635F37">
            <w:pPr>
              <w:jc w:val="center"/>
              <w:rPr>
                <w:b/>
              </w:rPr>
            </w:pPr>
            <w:r w:rsidRPr="000C4744">
              <w:rPr>
                <w:b/>
              </w:rPr>
              <w:t>160</w:t>
            </w:r>
            <w:r w:rsidR="00635F37">
              <w:rPr>
                <w:b/>
              </w:rPr>
              <w:t xml:space="preserve"> </w:t>
            </w:r>
            <w:r w:rsidR="008C31A7" w:rsidRPr="000C4744">
              <w:rPr>
                <w:b/>
              </w:rPr>
              <w:t>total leavers</w:t>
            </w:r>
          </w:p>
        </w:tc>
        <w:tc>
          <w:tcPr>
            <w:tcW w:w="810" w:type="dxa"/>
            <w:tcBorders>
              <w:bottom w:val="single" w:sz="4" w:space="0" w:color="auto"/>
            </w:tcBorders>
            <w:shd w:val="clear" w:color="auto" w:fill="D9D9D9" w:themeFill="background1" w:themeFillShade="D9"/>
            <w:vAlign w:val="center"/>
          </w:tcPr>
          <w:p w14:paraId="706016DA" w14:textId="1FAC30DF" w:rsidR="008C31A7" w:rsidRPr="000C4744" w:rsidRDefault="00810EBF" w:rsidP="00516E96">
            <w:pPr>
              <w:jc w:val="center"/>
              <w:rPr>
                <w:b/>
              </w:rPr>
            </w:pPr>
            <w:r w:rsidRPr="000C4744">
              <w:rPr>
                <w:b/>
              </w:rPr>
              <w:t>5</w:t>
            </w:r>
            <w:r w:rsidR="00516E96" w:rsidRPr="000C4744">
              <w:rPr>
                <w:b/>
              </w:rPr>
              <w:t>3</w:t>
            </w:r>
            <w:r w:rsidR="008C31A7" w:rsidRPr="000C4744">
              <w:rPr>
                <w:b/>
              </w:rPr>
              <w:t>%</w:t>
            </w:r>
          </w:p>
        </w:tc>
        <w:tc>
          <w:tcPr>
            <w:tcW w:w="1260" w:type="dxa"/>
            <w:vAlign w:val="center"/>
          </w:tcPr>
          <w:p w14:paraId="3159A6B4" w14:textId="77777777" w:rsidR="008C31A7" w:rsidRDefault="008C31A7" w:rsidP="008C31A7">
            <w:pPr>
              <w:jc w:val="center"/>
              <w:rPr>
                <w:b/>
              </w:rPr>
            </w:pPr>
            <w:r>
              <w:rPr>
                <w:b/>
              </w:rPr>
              <w:t xml:space="preserve">349 leavers to PH </w:t>
            </w:r>
          </w:p>
        </w:tc>
        <w:tc>
          <w:tcPr>
            <w:tcW w:w="1170" w:type="dxa"/>
            <w:vAlign w:val="center"/>
          </w:tcPr>
          <w:p w14:paraId="575D0475" w14:textId="77777777" w:rsidR="008C31A7" w:rsidRDefault="008C31A7" w:rsidP="008C31A7">
            <w:pPr>
              <w:jc w:val="center"/>
              <w:rPr>
                <w:b/>
              </w:rPr>
            </w:pPr>
            <w:r>
              <w:rPr>
                <w:b/>
              </w:rPr>
              <w:t>419 total leavers</w:t>
            </w:r>
          </w:p>
        </w:tc>
        <w:tc>
          <w:tcPr>
            <w:tcW w:w="900" w:type="dxa"/>
            <w:shd w:val="clear" w:color="auto" w:fill="D9D9D9" w:themeFill="background1" w:themeFillShade="D9"/>
            <w:vAlign w:val="center"/>
          </w:tcPr>
          <w:p w14:paraId="2680D7C5" w14:textId="77777777" w:rsidR="008C31A7" w:rsidRDefault="008C31A7" w:rsidP="008C31A7">
            <w:pPr>
              <w:jc w:val="center"/>
              <w:rPr>
                <w:b/>
              </w:rPr>
            </w:pPr>
            <w:r>
              <w:rPr>
                <w:b/>
              </w:rPr>
              <w:t>83%</w:t>
            </w:r>
          </w:p>
        </w:tc>
        <w:tc>
          <w:tcPr>
            <w:tcW w:w="1710" w:type="dxa"/>
            <w:vAlign w:val="center"/>
          </w:tcPr>
          <w:p w14:paraId="37E25D2F" w14:textId="77777777" w:rsidR="008C31A7" w:rsidRDefault="00E21AC0" w:rsidP="008C31A7">
            <w:pPr>
              <w:jc w:val="center"/>
              <w:rPr>
                <w:b/>
              </w:rPr>
            </w:pPr>
            <w:r>
              <w:rPr>
                <w:b/>
              </w:rPr>
              <w:t>31</w:t>
            </w:r>
            <w:r w:rsidR="008C31A7">
              <w:rPr>
                <w:b/>
              </w:rPr>
              <w:t>% decrease from PY2013</w:t>
            </w:r>
          </w:p>
        </w:tc>
      </w:tr>
      <w:tr w:rsidR="00A45D10" w14:paraId="5941BC99" w14:textId="77777777" w:rsidTr="00FE44C4">
        <w:trPr>
          <w:jc w:val="center"/>
        </w:trPr>
        <w:tc>
          <w:tcPr>
            <w:tcW w:w="2160" w:type="dxa"/>
            <w:vAlign w:val="center"/>
          </w:tcPr>
          <w:p w14:paraId="47581F2C" w14:textId="6204F2C1" w:rsidR="00A45D10" w:rsidRPr="000C4744" w:rsidRDefault="000C4744" w:rsidP="008C31A7">
            <w:pPr>
              <w:rPr>
                <w:b/>
              </w:rPr>
            </w:pPr>
            <w:r>
              <w:rPr>
                <w:b/>
              </w:rPr>
              <w:t>Rapid Rehousing*</w:t>
            </w:r>
          </w:p>
        </w:tc>
        <w:tc>
          <w:tcPr>
            <w:tcW w:w="1170" w:type="dxa"/>
            <w:vAlign w:val="center"/>
          </w:tcPr>
          <w:p w14:paraId="7E23DE24" w14:textId="4532EA4D" w:rsidR="00A45D10" w:rsidRPr="000C4744" w:rsidRDefault="00A45D10" w:rsidP="00635F37">
            <w:pPr>
              <w:jc w:val="center"/>
              <w:rPr>
                <w:b/>
              </w:rPr>
            </w:pPr>
            <w:r w:rsidRPr="000C4744">
              <w:rPr>
                <w:b/>
              </w:rPr>
              <w:t>60 leavers to PH</w:t>
            </w:r>
          </w:p>
        </w:tc>
        <w:tc>
          <w:tcPr>
            <w:tcW w:w="1080" w:type="dxa"/>
            <w:vAlign w:val="center"/>
          </w:tcPr>
          <w:p w14:paraId="410DFEEB" w14:textId="110BAA0B" w:rsidR="00A45D10" w:rsidRPr="000C4744" w:rsidRDefault="00A45D10" w:rsidP="00635F37">
            <w:pPr>
              <w:jc w:val="center"/>
              <w:rPr>
                <w:b/>
              </w:rPr>
            </w:pPr>
            <w:r w:rsidRPr="000C4744">
              <w:rPr>
                <w:b/>
              </w:rPr>
              <w:t xml:space="preserve">66 </w:t>
            </w:r>
            <w:r w:rsidR="00635F37">
              <w:rPr>
                <w:b/>
              </w:rPr>
              <w:t xml:space="preserve"> </w:t>
            </w:r>
            <w:r w:rsidRPr="000C4744">
              <w:rPr>
                <w:b/>
              </w:rPr>
              <w:t>total leavers</w:t>
            </w:r>
          </w:p>
        </w:tc>
        <w:tc>
          <w:tcPr>
            <w:tcW w:w="810" w:type="dxa"/>
            <w:shd w:val="pct10" w:color="auto" w:fill="auto"/>
            <w:vAlign w:val="center"/>
          </w:tcPr>
          <w:p w14:paraId="1AB0B08F" w14:textId="2BDBA15F" w:rsidR="00A45D10" w:rsidRPr="000C4744" w:rsidRDefault="00516E96" w:rsidP="008C31A7">
            <w:pPr>
              <w:jc w:val="center"/>
              <w:rPr>
                <w:b/>
              </w:rPr>
            </w:pPr>
            <w:r w:rsidRPr="000C4744">
              <w:rPr>
                <w:b/>
              </w:rPr>
              <w:t>91%</w:t>
            </w:r>
          </w:p>
        </w:tc>
        <w:tc>
          <w:tcPr>
            <w:tcW w:w="3330" w:type="dxa"/>
            <w:gridSpan w:val="3"/>
            <w:vAlign w:val="center"/>
          </w:tcPr>
          <w:p w14:paraId="077212B4" w14:textId="77777777" w:rsidR="00A45D10" w:rsidRDefault="00A45D10" w:rsidP="008C31A7">
            <w:pPr>
              <w:jc w:val="center"/>
              <w:rPr>
                <w:b/>
              </w:rPr>
            </w:pPr>
            <w:r>
              <w:rPr>
                <w:b/>
              </w:rPr>
              <w:t>N.A.</w:t>
            </w:r>
          </w:p>
        </w:tc>
        <w:tc>
          <w:tcPr>
            <w:tcW w:w="1710" w:type="dxa"/>
            <w:vAlign w:val="center"/>
          </w:tcPr>
          <w:p w14:paraId="3E443212" w14:textId="77777777" w:rsidR="00A45D10" w:rsidRDefault="00A45D10" w:rsidP="008C31A7">
            <w:pPr>
              <w:jc w:val="center"/>
              <w:rPr>
                <w:b/>
              </w:rPr>
            </w:pPr>
            <w:r>
              <w:rPr>
                <w:b/>
              </w:rPr>
              <w:t>N.A.</w:t>
            </w:r>
          </w:p>
        </w:tc>
      </w:tr>
      <w:tr w:rsidR="008C31A7" w14:paraId="7681BF46" w14:textId="77777777" w:rsidTr="00B23A47">
        <w:trPr>
          <w:jc w:val="center"/>
        </w:trPr>
        <w:tc>
          <w:tcPr>
            <w:tcW w:w="2160" w:type="dxa"/>
            <w:vAlign w:val="center"/>
          </w:tcPr>
          <w:p w14:paraId="49ED0E2D" w14:textId="77777777" w:rsidR="008C31A7" w:rsidRPr="000C4744" w:rsidRDefault="008C31A7" w:rsidP="008C31A7">
            <w:pPr>
              <w:rPr>
                <w:b/>
              </w:rPr>
            </w:pPr>
            <w:r w:rsidRPr="000C4744">
              <w:rPr>
                <w:b/>
              </w:rPr>
              <w:t>Transitional Housing</w:t>
            </w:r>
          </w:p>
        </w:tc>
        <w:tc>
          <w:tcPr>
            <w:tcW w:w="1170" w:type="dxa"/>
            <w:vAlign w:val="center"/>
          </w:tcPr>
          <w:p w14:paraId="2645B0F6" w14:textId="0112DA81" w:rsidR="008C31A7" w:rsidRPr="000C4744" w:rsidRDefault="00A45D10" w:rsidP="008C31A7">
            <w:pPr>
              <w:jc w:val="center"/>
              <w:rPr>
                <w:b/>
              </w:rPr>
            </w:pPr>
            <w:r w:rsidRPr="000C4744">
              <w:rPr>
                <w:b/>
              </w:rPr>
              <w:t>221</w:t>
            </w:r>
          </w:p>
          <w:p w14:paraId="5AA29453" w14:textId="77777777" w:rsidR="008C31A7" w:rsidRPr="000C4744" w:rsidRDefault="008C31A7" w:rsidP="008C31A7">
            <w:pPr>
              <w:jc w:val="center"/>
              <w:rPr>
                <w:b/>
              </w:rPr>
            </w:pPr>
            <w:r w:rsidRPr="000C4744">
              <w:rPr>
                <w:b/>
              </w:rPr>
              <w:t xml:space="preserve">leavers to PH </w:t>
            </w:r>
          </w:p>
        </w:tc>
        <w:tc>
          <w:tcPr>
            <w:tcW w:w="1080" w:type="dxa"/>
            <w:vAlign w:val="center"/>
          </w:tcPr>
          <w:p w14:paraId="2A210E84" w14:textId="4E61B7C6" w:rsidR="008C31A7" w:rsidRPr="000C4744" w:rsidRDefault="00A45D10" w:rsidP="008C31A7">
            <w:pPr>
              <w:jc w:val="center"/>
              <w:rPr>
                <w:b/>
              </w:rPr>
            </w:pPr>
            <w:r w:rsidRPr="000C4744">
              <w:rPr>
                <w:b/>
              </w:rPr>
              <w:t>301</w:t>
            </w:r>
          </w:p>
          <w:p w14:paraId="5136BA0A" w14:textId="77777777" w:rsidR="008C31A7" w:rsidRPr="000C4744" w:rsidRDefault="008C31A7" w:rsidP="008C31A7">
            <w:pPr>
              <w:jc w:val="center"/>
              <w:rPr>
                <w:b/>
              </w:rPr>
            </w:pPr>
            <w:r w:rsidRPr="000C4744">
              <w:rPr>
                <w:b/>
              </w:rPr>
              <w:t xml:space="preserve"> total leavers</w:t>
            </w:r>
          </w:p>
        </w:tc>
        <w:tc>
          <w:tcPr>
            <w:tcW w:w="810" w:type="dxa"/>
            <w:shd w:val="clear" w:color="auto" w:fill="D9D9D9" w:themeFill="background1" w:themeFillShade="D9"/>
            <w:vAlign w:val="center"/>
          </w:tcPr>
          <w:p w14:paraId="3B8BF48A" w14:textId="23CA827E" w:rsidR="008C31A7" w:rsidRPr="000C4744" w:rsidRDefault="00516E96" w:rsidP="008C31A7">
            <w:pPr>
              <w:jc w:val="center"/>
              <w:rPr>
                <w:b/>
              </w:rPr>
            </w:pPr>
            <w:r w:rsidRPr="000C4744">
              <w:rPr>
                <w:b/>
              </w:rPr>
              <w:t>73</w:t>
            </w:r>
            <w:r w:rsidR="008C31A7" w:rsidRPr="000C4744">
              <w:rPr>
                <w:b/>
              </w:rPr>
              <w:t>%</w:t>
            </w:r>
          </w:p>
        </w:tc>
        <w:tc>
          <w:tcPr>
            <w:tcW w:w="1260" w:type="dxa"/>
            <w:vAlign w:val="center"/>
          </w:tcPr>
          <w:p w14:paraId="033122FC" w14:textId="77777777" w:rsidR="00E21AC0" w:rsidRDefault="008C31A7" w:rsidP="008C31A7">
            <w:pPr>
              <w:jc w:val="center"/>
              <w:rPr>
                <w:b/>
              </w:rPr>
            </w:pPr>
            <w:r>
              <w:rPr>
                <w:b/>
              </w:rPr>
              <w:t xml:space="preserve">213 </w:t>
            </w:r>
          </w:p>
          <w:p w14:paraId="0F17D0A7" w14:textId="77777777" w:rsidR="008C31A7" w:rsidRDefault="008C31A7" w:rsidP="008C31A7">
            <w:pPr>
              <w:jc w:val="center"/>
              <w:rPr>
                <w:b/>
              </w:rPr>
            </w:pPr>
            <w:r>
              <w:rPr>
                <w:b/>
              </w:rPr>
              <w:t xml:space="preserve">leavers to PH </w:t>
            </w:r>
          </w:p>
        </w:tc>
        <w:tc>
          <w:tcPr>
            <w:tcW w:w="1170" w:type="dxa"/>
            <w:vAlign w:val="center"/>
          </w:tcPr>
          <w:p w14:paraId="1FAC4581" w14:textId="77777777" w:rsidR="00E21AC0" w:rsidRDefault="008C31A7" w:rsidP="008C31A7">
            <w:pPr>
              <w:jc w:val="center"/>
              <w:rPr>
                <w:b/>
              </w:rPr>
            </w:pPr>
            <w:r>
              <w:rPr>
                <w:b/>
              </w:rPr>
              <w:t xml:space="preserve">285 </w:t>
            </w:r>
          </w:p>
          <w:p w14:paraId="2EF31E23" w14:textId="77777777" w:rsidR="008C31A7" w:rsidRDefault="008C31A7" w:rsidP="008C31A7">
            <w:pPr>
              <w:jc w:val="center"/>
              <w:rPr>
                <w:b/>
              </w:rPr>
            </w:pPr>
            <w:r>
              <w:rPr>
                <w:b/>
              </w:rPr>
              <w:t>total leavers</w:t>
            </w:r>
          </w:p>
        </w:tc>
        <w:tc>
          <w:tcPr>
            <w:tcW w:w="900" w:type="dxa"/>
            <w:shd w:val="clear" w:color="auto" w:fill="D9D9D9" w:themeFill="background1" w:themeFillShade="D9"/>
            <w:vAlign w:val="center"/>
          </w:tcPr>
          <w:p w14:paraId="3FD7E800" w14:textId="77777777" w:rsidR="008C31A7" w:rsidRDefault="008C31A7" w:rsidP="008C31A7">
            <w:pPr>
              <w:jc w:val="center"/>
              <w:rPr>
                <w:b/>
              </w:rPr>
            </w:pPr>
            <w:r>
              <w:rPr>
                <w:b/>
              </w:rPr>
              <w:t>75%</w:t>
            </w:r>
          </w:p>
        </w:tc>
        <w:tc>
          <w:tcPr>
            <w:tcW w:w="1710" w:type="dxa"/>
            <w:vAlign w:val="center"/>
          </w:tcPr>
          <w:p w14:paraId="58EC262F" w14:textId="77777777" w:rsidR="008C31A7" w:rsidRDefault="00E21AC0" w:rsidP="00E21AC0">
            <w:pPr>
              <w:rPr>
                <w:b/>
              </w:rPr>
            </w:pPr>
            <w:r>
              <w:rPr>
                <w:b/>
              </w:rPr>
              <w:t>1</w:t>
            </w:r>
            <w:r w:rsidR="008C31A7">
              <w:rPr>
                <w:b/>
              </w:rPr>
              <w:t>2% decrease from PY2013</w:t>
            </w:r>
          </w:p>
        </w:tc>
      </w:tr>
      <w:tr w:rsidR="008C31A7" w14:paraId="46B0E312" w14:textId="77777777" w:rsidTr="00B23A47">
        <w:trPr>
          <w:jc w:val="center"/>
        </w:trPr>
        <w:tc>
          <w:tcPr>
            <w:tcW w:w="2160" w:type="dxa"/>
            <w:vAlign w:val="center"/>
          </w:tcPr>
          <w:p w14:paraId="6A93D757" w14:textId="3DB20C62" w:rsidR="008C31A7" w:rsidRPr="000C4744" w:rsidRDefault="008C31A7" w:rsidP="008C31A7">
            <w:pPr>
              <w:rPr>
                <w:b/>
              </w:rPr>
            </w:pPr>
            <w:r w:rsidRPr="000C4744">
              <w:rPr>
                <w:b/>
              </w:rPr>
              <w:t>Emergency Shelter – Long Term Beds*</w:t>
            </w:r>
            <w:r w:rsidR="000C4744">
              <w:rPr>
                <w:b/>
              </w:rPr>
              <w:t>*</w:t>
            </w:r>
          </w:p>
        </w:tc>
        <w:tc>
          <w:tcPr>
            <w:tcW w:w="1170" w:type="dxa"/>
            <w:vAlign w:val="center"/>
          </w:tcPr>
          <w:p w14:paraId="44B908A3" w14:textId="30144420" w:rsidR="008C31A7" w:rsidRPr="000C4744" w:rsidRDefault="00A45D10" w:rsidP="008C31A7">
            <w:pPr>
              <w:jc w:val="center"/>
              <w:rPr>
                <w:b/>
              </w:rPr>
            </w:pPr>
            <w:r w:rsidRPr="000C4744">
              <w:rPr>
                <w:b/>
              </w:rPr>
              <w:t>1234</w:t>
            </w:r>
            <w:r w:rsidR="004A0732" w:rsidRPr="000C4744">
              <w:rPr>
                <w:b/>
              </w:rPr>
              <w:t xml:space="preserve"> </w:t>
            </w:r>
            <w:r w:rsidR="008C31A7" w:rsidRPr="000C4744">
              <w:rPr>
                <w:b/>
              </w:rPr>
              <w:t>leavers to PH</w:t>
            </w:r>
          </w:p>
        </w:tc>
        <w:tc>
          <w:tcPr>
            <w:tcW w:w="1080" w:type="dxa"/>
            <w:vAlign w:val="center"/>
          </w:tcPr>
          <w:p w14:paraId="098D1B80" w14:textId="486FDF6F" w:rsidR="008C31A7" w:rsidRPr="000C4744" w:rsidRDefault="00A45D10" w:rsidP="004A0732">
            <w:pPr>
              <w:jc w:val="center"/>
              <w:rPr>
                <w:b/>
              </w:rPr>
            </w:pPr>
            <w:r w:rsidRPr="000C4744">
              <w:rPr>
                <w:b/>
              </w:rPr>
              <w:t xml:space="preserve">2770 </w:t>
            </w:r>
            <w:r w:rsidR="008C31A7" w:rsidRPr="000C4744">
              <w:rPr>
                <w:b/>
              </w:rPr>
              <w:t>total leavers</w:t>
            </w:r>
          </w:p>
        </w:tc>
        <w:tc>
          <w:tcPr>
            <w:tcW w:w="810" w:type="dxa"/>
            <w:shd w:val="clear" w:color="auto" w:fill="D9D9D9" w:themeFill="background1" w:themeFillShade="D9"/>
            <w:vAlign w:val="center"/>
          </w:tcPr>
          <w:p w14:paraId="0564BF84" w14:textId="2AFCF278" w:rsidR="008C31A7" w:rsidRPr="000C4744" w:rsidRDefault="00516E96" w:rsidP="008C31A7">
            <w:pPr>
              <w:jc w:val="center"/>
              <w:rPr>
                <w:b/>
              </w:rPr>
            </w:pPr>
            <w:r w:rsidRPr="000C4744">
              <w:rPr>
                <w:b/>
              </w:rPr>
              <w:t>45</w:t>
            </w:r>
            <w:r w:rsidR="008C31A7" w:rsidRPr="000C4744">
              <w:rPr>
                <w:b/>
              </w:rPr>
              <w:t>%</w:t>
            </w:r>
          </w:p>
        </w:tc>
        <w:tc>
          <w:tcPr>
            <w:tcW w:w="1260" w:type="dxa"/>
            <w:vAlign w:val="center"/>
          </w:tcPr>
          <w:p w14:paraId="0513DF68" w14:textId="77777777" w:rsidR="008C31A7" w:rsidRDefault="008C31A7" w:rsidP="008C31A7">
            <w:pPr>
              <w:jc w:val="center"/>
              <w:rPr>
                <w:b/>
              </w:rPr>
            </w:pPr>
            <w:r>
              <w:rPr>
                <w:b/>
              </w:rPr>
              <w:t>403</w:t>
            </w:r>
          </w:p>
          <w:p w14:paraId="666E51F3" w14:textId="77777777" w:rsidR="008C31A7" w:rsidRDefault="008C31A7" w:rsidP="008C31A7">
            <w:pPr>
              <w:jc w:val="center"/>
              <w:rPr>
                <w:b/>
              </w:rPr>
            </w:pPr>
            <w:r>
              <w:rPr>
                <w:b/>
              </w:rPr>
              <w:t>leavers to PH</w:t>
            </w:r>
          </w:p>
        </w:tc>
        <w:tc>
          <w:tcPr>
            <w:tcW w:w="1170" w:type="dxa"/>
            <w:vAlign w:val="center"/>
          </w:tcPr>
          <w:p w14:paraId="314AC7D2" w14:textId="77777777" w:rsidR="008C31A7" w:rsidRDefault="008C31A7" w:rsidP="008C31A7">
            <w:pPr>
              <w:jc w:val="center"/>
              <w:rPr>
                <w:b/>
              </w:rPr>
            </w:pPr>
            <w:r>
              <w:rPr>
                <w:b/>
              </w:rPr>
              <w:t>1904</w:t>
            </w:r>
          </w:p>
          <w:p w14:paraId="1CE09663" w14:textId="77777777" w:rsidR="008C31A7" w:rsidRDefault="008C31A7" w:rsidP="008C31A7">
            <w:pPr>
              <w:jc w:val="center"/>
              <w:rPr>
                <w:b/>
              </w:rPr>
            </w:pPr>
            <w:r>
              <w:rPr>
                <w:b/>
              </w:rPr>
              <w:t>total leavers</w:t>
            </w:r>
          </w:p>
        </w:tc>
        <w:tc>
          <w:tcPr>
            <w:tcW w:w="900" w:type="dxa"/>
            <w:shd w:val="clear" w:color="auto" w:fill="D9D9D9" w:themeFill="background1" w:themeFillShade="D9"/>
            <w:vAlign w:val="center"/>
          </w:tcPr>
          <w:p w14:paraId="6EF6184C" w14:textId="77777777" w:rsidR="008C31A7" w:rsidRDefault="008C31A7" w:rsidP="008C31A7">
            <w:pPr>
              <w:jc w:val="center"/>
              <w:rPr>
                <w:b/>
              </w:rPr>
            </w:pPr>
            <w:r>
              <w:rPr>
                <w:b/>
              </w:rPr>
              <w:t>21%</w:t>
            </w:r>
          </w:p>
        </w:tc>
        <w:tc>
          <w:tcPr>
            <w:tcW w:w="1710" w:type="dxa"/>
            <w:vAlign w:val="center"/>
          </w:tcPr>
          <w:p w14:paraId="720F0E9F" w14:textId="77777777" w:rsidR="008C31A7" w:rsidRDefault="00E21AC0" w:rsidP="008C31A7">
            <w:pPr>
              <w:jc w:val="center"/>
              <w:rPr>
                <w:b/>
              </w:rPr>
            </w:pPr>
            <w:r>
              <w:rPr>
                <w:b/>
              </w:rPr>
              <w:t>5</w:t>
            </w:r>
            <w:r w:rsidR="008C31A7">
              <w:rPr>
                <w:b/>
              </w:rPr>
              <w:t>% increase from PY2013</w:t>
            </w:r>
          </w:p>
        </w:tc>
      </w:tr>
      <w:tr w:rsidR="00640EBA" w14:paraId="56C588E0" w14:textId="77777777" w:rsidTr="00B23A47">
        <w:trPr>
          <w:jc w:val="center"/>
        </w:trPr>
        <w:tc>
          <w:tcPr>
            <w:tcW w:w="2160" w:type="dxa"/>
            <w:vAlign w:val="center"/>
          </w:tcPr>
          <w:p w14:paraId="0B040661" w14:textId="77777777" w:rsidR="00640EBA" w:rsidRDefault="00640EBA" w:rsidP="008C31A7">
            <w:pPr>
              <w:rPr>
                <w:b/>
              </w:rPr>
            </w:pPr>
            <w:r>
              <w:rPr>
                <w:b/>
              </w:rPr>
              <w:t>PNS Safe Haven</w:t>
            </w:r>
          </w:p>
        </w:tc>
        <w:tc>
          <w:tcPr>
            <w:tcW w:w="1170" w:type="dxa"/>
            <w:vAlign w:val="center"/>
          </w:tcPr>
          <w:p w14:paraId="34756CBD" w14:textId="77777777" w:rsidR="00E21AC0" w:rsidRDefault="00640EBA" w:rsidP="008C31A7">
            <w:pPr>
              <w:jc w:val="center"/>
              <w:rPr>
                <w:b/>
              </w:rPr>
            </w:pPr>
            <w:r w:rsidRPr="009D7C9F">
              <w:rPr>
                <w:b/>
              </w:rPr>
              <w:t>2</w:t>
            </w:r>
            <w:r w:rsidR="009D7C9F">
              <w:rPr>
                <w:b/>
              </w:rPr>
              <w:t xml:space="preserve"> </w:t>
            </w:r>
          </w:p>
          <w:p w14:paraId="17D95CAA" w14:textId="77777777" w:rsidR="00640EBA" w:rsidRPr="009D7C9F" w:rsidRDefault="009D7C9F" w:rsidP="008C31A7">
            <w:pPr>
              <w:jc w:val="center"/>
              <w:rPr>
                <w:b/>
              </w:rPr>
            </w:pPr>
            <w:r>
              <w:rPr>
                <w:b/>
              </w:rPr>
              <w:t>leavers to PH</w:t>
            </w:r>
          </w:p>
        </w:tc>
        <w:tc>
          <w:tcPr>
            <w:tcW w:w="1080" w:type="dxa"/>
            <w:vAlign w:val="center"/>
          </w:tcPr>
          <w:p w14:paraId="08C49C9C" w14:textId="77777777" w:rsidR="00E21AC0" w:rsidRDefault="00640EBA" w:rsidP="004A0732">
            <w:pPr>
              <w:jc w:val="center"/>
              <w:rPr>
                <w:b/>
              </w:rPr>
            </w:pPr>
            <w:r w:rsidRPr="009D7C9F">
              <w:rPr>
                <w:b/>
              </w:rPr>
              <w:t>9</w:t>
            </w:r>
            <w:r w:rsidR="009D7C9F">
              <w:rPr>
                <w:b/>
              </w:rPr>
              <w:t xml:space="preserve"> </w:t>
            </w:r>
          </w:p>
          <w:p w14:paraId="79B8BEA5" w14:textId="77777777" w:rsidR="00640EBA" w:rsidRPr="009D7C9F" w:rsidRDefault="009D7C9F" w:rsidP="004A0732">
            <w:pPr>
              <w:jc w:val="center"/>
              <w:rPr>
                <w:b/>
              </w:rPr>
            </w:pPr>
            <w:r>
              <w:rPr>
                <w:b/>
              </w:rPr>
              <w:t>total leavers</w:t>
            </w:r>
          </w:p>
        </w:tc>
        <w:tc>
          <w:tcPr>
            <w:tcW w:w="810" w:type="dxa"/>
            <w:shd w:val="clear" w:color="auto" w:fill="D9D9D9" w:themeFill="background1" w:themeFillShade="D9"/>
            <w:vAlign w:val="center"/>
          </w:tcPr>
          <w:p w14:paraId="3F76C610" w14:textId="77777777" w:rsidR="00640EBA" w:rsidRPr="009D7C9F" w:rsidRDefault="009D7C9F" w:rsidP="008C31A7">
            <w:pPr>
              <w:jc w:val="center"/>
              <w:rPr>
                <w:b/>
              </w:rPr>
            </w:pPr>
            <w:r>
              <w:rPr>
                <w:b/>
              </w:rPr>
              <w:t>22%</w:t>
            </w:r>
          </w:p>
        </w:tc>
        <w:tc>
          <w:tcPr>
            <w:tcW w:w="1260" w:type="dxa"/>
            <w:vAlign w:val="center"/>
          </w:tcPr>
          <w:p w14:paraId="4A99330C" w14:textId="77777777" w:rsidR="00E21AC0" w:rsidRDefault="009D7C9F" w:rsidP="008C31A7">
            <w:pPr>
              <w:jc w:val="center"/>
              <w:rPr>
                <w:b/>
              </w:rPr>
            </w:pPr>
            <w:r>
              <w:rPr>
                <w:b/>
              </w:rPr>
              <w:t xml:space="preserve">8 </w:t>
            </w:r>
          </w:p>
          <w:p w14:paraId="72482807" w14:textId="77777777" w:rsidR="00640EBA" w:rsidRDefault="009D7C9F" w:rsidP="008C31A7">
            <w:pPr>
              <w:jc w:val="center"/>
              <w:rPr>
                <w:b/>
              </w:rPr>
            </w:pPr>
            <w:r>
              <w:rPr>
                <w:b/>
              </w:rPr>
              <w:t>leavers to PH</w:t>
            </w:r>
          </w:p>
        </w:tc>
        <w:tc>
          <w:tcPr>
            <w:tcW w:w="1170" w:type="dxa"/>
            <w:vAlign w:val="center"/>
          </w:tcPr>
          <w:p w14:paraId="5534781F" w14:textId="77777777" w:rsidR="00E21AC0" w:rsidRDefault="009D7C9F" w:rsidP="008C31A7">
            <w:pPr>
              <w:jc w:val="center"/>
              <w:rPr>
                <w:b/>
              </w:rPr>
            </w:pPr>
            <w:r>
              <w:rPr>
                <w:b/>
              </w:rPr>
              <w:t xml:space="preserve">22 </w:t>
            </w:r>
          </w:p>
          <w:p w14:paraId="58F12689" w14:textId="77777777" w:rsidR="00640EBA" w:rsidRDefault="009D7C9F" w:rsidP="008C31A7">
            <w:pPr>
              <w:jc w:val="center"/>
              <w:rPr>
                <w:b/>
              </w:rPr>
            </w:pPr>
            <w:r>
              <w:rPr>
                <w:b/>
              </w:rPr>
              <w:t>total leavers</w:t>
            </w:r>
          </w:p>
        </w:tc>
        <w:tc>
          <w:tcPr>
            <w:tcW w:w="900" w:type="dxa"/>
            <w:shd w:val="clear" w:color="auto" w:fill="D9D9D9" w:themeFill="background1" w:themeFillShade="D9"/>
            <w:vAlign w:val="center"/>
          </w:tcPr>
          <w:p w14:paraId="3660377A" w14:textId="77777777" w:rsidR="00640EBA" w:rsidRDefault="00E21AC0" w:rsidP="008C31A7">
            <w:pPr>
              <w:jc w:val="center"/>
              <w:rPr>
                <w:b/>
              </w:rPr>
            </w:pPr>
            <w:r>
              <w:rPr>
                <w:b/>
              </w:rPr>
              <w:t>36%</w:t>
            </w:r>
          </w:p>
        </w:tc>
        <w:tc>
          <w:tcPr>
            <w:tcW w:w="1710" w:type="dxa"/>
            <w:vAlign w:val="center"/>
          </w:tcPr>
          <w:p w14:paraId="243D17C4" w14:textId="77777777" w:rsidR="00640EBA" w:rsidRDefault="00E21AC0" w:rsidP="008C31A7">
            <w:pPr>
              <w:jc w:val="center"/>
              <w:rPr>
                <w:b/>
              </w:rPr>
            </w:pPr>
            <w:r>
              <w:rPr>
                <w:b/>
              </w:rPr>
              <w:t>14% decrease from PY2013</w:t>
            </w:r>
          </w:p>
        </w:tc>
      </w:tr>
    </w:tbl>
    <w:p w14:paraId="7F0B54A0" w14:textId="3EFD1DB6" w:rsidR="004F4802" w:rsidRDefault="004F4802" w:rsidP="000C4744">
      <w:pPr>
        <w:spacing w:after="0" w:line="240" w:lineRule="auto"/>
        <w:rPr>
          <w:i/>
          <w:sz w:val="20"/>
          <w:szCs w:val="24"/>
        </w:rPr>
      </w:pPr>
      <w:r w:rsidRPr="00D40372">
        <w:rPr>
          <w:i/>
          <w:sz w:val="20"/>
          <w:szCs w:val="24"/>
        </w:rPr>
        <w:t>*Emergency Shelter Exit to Pe</w:t>
      </w:r>
      <w:r>
        <w:rPr>
          <w:i/>
          <w:sz w:val="20"/>
          <w:szCs w:val="24"/>
        </w:rPr>
        <w:t>rmanent Housing measurement reflects only those with a completed exit assessment</w:t>
      </w:r>
      <w:r w:rsidR="000C4744">
        <w:rPr>
          <w:i/>
          <w:sz w:val="20"/>
          <w:szCs w:val="24"/>
        </w:rPr>
        <w:t xml:space="preserve">     </w:t>
      </w:r>
    </w:p>
    <w:p w14:paraId="483691BC" w14:textId="70BA87EA" w:rsidR="00A45D10" w:rsidRPr="00D40372" w:rsidRDefault="00A45D10" w:rsidP="000C4744">
      <w:pPr>
        <w:spacing w:after="0" w:line="240" w:lineRule="auto"/>
        <w:rPr>
          <w:i/>
          <w:sz w:val="20"/>
          <w:szCs w:val="24"/>
        </w:rPr>
      </w:pPr>
      <w:r>
        <w:rPr>
          <w:i/>
          <w:sz w:val="20"/>
          <w:szCs w:val="24"/>
        </w:rPr>
        <w:t>**</w:t>
      </w:r>
      <w:r w:rsidR="000C4744">
        <w:rPr>
          <w:i/>
          <w:sz w:val="20"/>
          <w:szCs w:val="24"/>
        </w:rPr>
        <w:t xml:space="preserve">Rapid Rehousing </w:t>
      </w:r>
      <w:r>
        <w:rPr>
          <w:i/>
          <w:sz w:val="20"/>
          <w:szCs w:val="24"/>
        </w:rPr>
        <w:t>data only</w:t>
      </w:r>
      <w:r w:rsidR="000C4744">
        <w:rPr>
          <w:i/>
          <w:sz w:val="20"/>
          <w:szCs w:val="24"/>
        </w:rPr>
        <w:t xml:space="preserve"> reflects Safe Haven Rapid Rehousing Program</w:t>
      </w:r>
      <w:r>
        <w:rPr>
          <w:i/>
          <w:sz w:val="20"/>
          <w:szCs w:val="24"/>
        </w:rPr>
        <w:t>, no leavers from other RRH programs</w:t>
      </w:r>
      <w:r w:rsidR="000C4744">
        <w:rPr>
          <w:i/>
          <w:sz w:val="20"/>
          <w:szCs w:val="24"/>
        </w:rPr>
        <w:t xml:space="preserve"> at this time</w:t>
      </w:r>
    </w:p>
    <w:p w14:paraId="0FED1E01" w14:textId="0F6992C8" w:rsidR="000C4744" w:rsidRDefault="000C4744" w:rsidP="00B9462A">
      <w:pPr>
        <w:spacing w:after="0" w:line="240" w:lineRule="auto"/>
        <w:rPr>
          <w:b/>
          <w:sz w:val="24"/>
          <w:szCs w:val="24"/>
        </w:rPr>
      </w:pPr>
      <w:r>
        <w:rPr>
          <w:i/>
          <w:sz w:val="20"/>
          <w:szCs w:val="24"/>
        </w:rPr>
        <w:t xml:space="preserve">    </w:t>
      </w:r>
    </w:p>
    <w:p w14:paraId="0158099B" w14:textId="77777777" w:rsidR="00335019" w:rsidRDefault="003E63B2" w:rsidP="00B9462A">
      <w:pPr>
        <w:spacing w:after="0" w:line="240" w:lineRule="auto"/>
        <w:rPr>
          <w:b/>
          <w:sz w:val="24"/>
          <w:szCs w:val="24"/>
        </w:rPr>
      </w:pPr>
      <w:r w:rsidRPr="003E63B2">
        <w:rPr>
          <w:b/>
          <w:sz w:val="24"/>
          <w:szCs w:val="24"/>
        </w:rPr>
        <w:t xml:space="preserve">Income </w:t>
      </w:r>
      <w:r>
        <w:rPr>
          <w:b/>
          <w:sz w:val="24"/>
          <w:szCs w:val="24"/>
        </w:rPr>
        <w:t xml:space="preserve">and Mainstream Benefits </w:t>
      </w:r>
      <w:r w:rsidRPr="003E63B2">
        <w:rPr>
          <w:b/>
          <w:sz w:val="24"/>
          <w:szCs w:val="24"/>
        </w:rPr>
        <w:t>at Exit</w:t>
      </w:r>
      <w:r w:rsidR="00335019">
        <w:rPr>
          <w:b/>
          <w:sz w:val="24"/>
          <w:szCs w:val="24"/>
        </w:rPr>
        <w:t xml:space="preserve"> – Includes Only Continuum of Care Funded Programs</w:t>
      </w:r>
    </w:p>
    <w:p w14:paraId="29753EB3" w14:textId="77777777" w:rsidR="00F45364" w:rsidRDefault="00F45364" w:rsidP="00F45364">
      <w:pPr>
        <w:spacing w:after="0" w:line="240" w:lineRule="auto"/>
        <w:rPr>
          <w:b/>
          <w:sz w:val="24"/>
          <w:szCs w:val="24"/>
        </w:rPr>
      </w:pPr>
      <w:r>
        <w:rPr>
          <w:b/>
          <w:sz w:val="24"/>
          <w:szCs w:val="24"/>
        </w:rPr>
        <w:t>Benchmark Data: Program Year 2013</w:t>
      </w:r>
    </w:p>
    <w:p w14:paraId="11F32622" w14:textId="77777777" w:rsidR="002433BE" w:rsidRDefault="002433BE" w:rsidP="00F45364">
      <w:pPr>
        <w:spacing w:after="0" w:line="240" w:lineRule="auto"/>
        <w:rPr>
          <w:b/>
          <w:sz w:val="24"/>
          <w:szCs w:val="24"/>
        </w:rPr>
      </w:pPr>
    </w:p>
    <w:p w14:paraId="380AA1CF" w14:textId="14B972C9" w:rsidR="00177FF4" w:rsidRPr="002433BE" w:rsidRDefault="00320A50" w:rsidP="00177FF4">
      <w:pPr>
        <w:spacing w:after="0" w:line="240" w:lineRule="auto"/>
        <w:rPr>
          <w:sz w:val="24"/>
          <w:szCs w:val="24"/>
        </w:rPr>
      </w:pPr>
      <w:r>
        <w:rPr>
          <w:sz w:val="24"/>
          <w:szCs w:val="24"/>
        </w:rPr>
        <w:t>Income and benefits</w:t>
      </w:r>
      <w:r w:rsidR="00177FF4">
        <w:rPr>
          <w:sz w:val="24"/>
          <w:szCs w:val="24"/>
        </w:rPr>
        <w:t xml:space="preserve"> are measured </w:t>
      </w:r>
      <w:r>
        <w:rPr>
          <w:sz w:val="24"/>
          <w:szCs w:val="24"/>
        </w:rPr>
        <w:t xml:space="preserve">at client exit </w:t>
      </w:r>
      <w:r w:rsidR="00177FF4">
        <w:rPr>
          <w:sz w:val="24"/>
          <w:szCs w:val="24"/>
        </w:rPr>
        <w:t>to determine the financial stability of clients upon leaving a homeless service program.  Measures evaluate income from employment, as well as from mainstream benefits, such as food stamps, TANF, Medicaid, etc.  The baseline data for this measure is from Program Year 2013, based on the annual HUD program year, October 1, 2012 – September 30, 2013.  Current data includes the Year to Date quarterly data</w:t>
      </w:r>
      <w:r>
        <w:rPr>
          <w:sz w:val="24"/>
          <w:szCs w:val="24"/>
        </w:rPr>
        <w:t xml:space="preserve"> which </w:t>
      </w:r>
      <w:r w:rsidR="00177FF4">
        <w:rPr>
          <w:sz w:val="24"/>
          <w:szCs w:val="24"/>
        </w:rPr>
        <w:t xml:space="preserve">includes data from </w:t>
      </w:r>
      <w:r>
        <w:rPr>
          <w:sz w:val="24"/>
          <w:szCs w:val="24"/>
        </w:rPr>
        <w:t>October</w:t>
      </w:r>
      <w:r w:rsidR="00177FF4">
        <w:rPr>
          <w:sz w:val="24"/>
          <w:szCs w:val="24"/>
        </w:rPr>
        <w:t xml:space="preserve"> 1, 201</w:t>
      </w:r>
      <w:r>
        <w:rPr>
          <w:sz w:val="24"/>
          <w:szCs w:val="24"/>
        </w:rPr>
        <w:t>3</w:t>
      </w:r>
      <w:r w:rsidR="00177FF4">
        <w:rPr>
          <w:sz w:val="24"/>
          <w:szCs w:val="24"/>
        </w:rPr>
        <w:t xml:space="preserve"> – June 30, 2014.  </w:t>
      </w:r>
    </w:p>
    <w:p w14:paraId="0AEE4DEB" w14:textId="77777777" w:rsidR="00214248" w:rsidRDefault="00214248" w:rsidP="00B9462A">
      <w:pPr>
        <w:spacing w:after="0" w:line="240" w:lineRule="auto"/>
        <w:rPr>
          <w:sz w:val="24"/>
          <w:szCs w:val="24"/>
        </w:rPr>
      </w:pPr>
    </w:p>
    <w:p w14:paraId="16A4B307" w14:textId="77777777" w:rsidR="000C4744" w:rsidRPr="009F0994" w:rsidRDefault="000C4744" w:rsidP="00B9462A">
      <w:pPr>
        <w:spacing w:after="0" w:line="240" w:lineRule="auto"/>
        <w:rPr>
          <w:sz w:val="24"/>
          <w:szCs w:val="24"/>
        </w:rPr>
      </w:pPr>
    </w:p>
    <w:tbl>
      <w:tblPr>
        <w:tblStyle w:val="TableGrid"/>
        <w:tblW w:w="0" w:type="auto"/>
        <w:tblInd w:w="265" w:type="dxa"/>
        <w:tblLook w:val="04A0" w:firstRow="1" w:lastRow="0" w:firstColumn="1" w:lastColumn="0" w:noHBand="0" w:noVBand="1"/>
      </w:tblPr>
      <w:tblGrid>
        <w:gridCol w:w="4050"/>
        <w:gridCol w:w="1620"/>
        <w:gridCol w:w="1620"/>
        <w:gridCol w:w="2970"/>
      </w:tblGrid>
      <w:tr w:rsidR="008C31A7" w14:paraId="42B513F9" w14:textId="77777777" w:rsidTr="006F21BD">
        <w:tc>
          <w:tcPr>
            <w:tcW w:w="4050" w:type="dxa"/>
            <w:shd w:val="pct15" w:color="auto" w:fill="auto"/>
          </w:tcPr>
          <w:p w14:paraId="732FE5B8" w14:textId="77777777" w:rsidR="008C31A7" w:rsidRPr="006C7B50" w:rsidRDefault="008C31A7" w:rsidP="008C31A7">
            <w:pPr>
              <w:jc w:val="center"/>
              <w:rPr>
                <w:b/>
              </w:rPr>
            </w:pPr>
            <w:r>
              <w:rPr>
                <w:b/>
              </w:rPr>
              <w:t>Measure</w:t>
            </w:r>
          </w:p>
        </w:tc>
        <w:tc>
          <w:tcPr>
            <w:tcW w:w="1620" w:type="dxa"/>
            <w:shd w:val="pct15" w:color="auto" w:fill="auto"/>
          </w:tcPr>
          <w:p w14:paraId="0F8CAA46" w14:textId="77777777" w:rsidR="008C31A7" w:rsidRDefault="008C31A7" w:rsidP="008C31A7">
            <w:pPr>
              <w:jc w:val="center"/>
              <w:rPr>
                <w:b/>
              </w:rPr>
            </w:pPr>
            <w:r>
              <w:rPr>
                <w:b/>
              </w:rPr>
              <w:t xml:space="preserve">QPR </w:t>
            </w:r>
          </w:p>
        </w:tc>
        <w:tc>
          <w:tcPr>
            <w:tcW w:w="1620" w:type="dxa"/>
            <w:shd w:val="pct15" w:color="auto" w:fill="auto"/>
          </w:tcPr>
          <w:p w14:paraId="226CFE99" w14:textId="77777777" w:rsidR="008C31A7" w:rsidRDefault="008C31A7" w:rsidP="008C31A7">
            <w:pPr>
              <w:jc w:val="center"/>
              <w:rPr>
                <w:b/>
              </w:rPr>
            </w:pPr>
            <w:r>
              <w:rPr>
                <w:b/>
              </w:rPr>
              <w:t>PY2013 Rate</w:t>
            </w:r>
          </w:p>
        </w:tc>
        <w:tc>
          <w:tcPr>
            <w:tcW w:w="2970" w:type="dxa"/>
            <w:shd w:val="pct15" w:color="auto" w:fill="auto"/>
            <w:vAlign w:val="center"/>
          </w:tcPr>
          <w:p w14:paraId="4A6FEBC7" w14:textId="77777777" w:rsidR="008C31A7" w:rsidRPr="00E3142F" w:rsidRDefault="008C31A7" w:rsidP="008C31A7">
            <w:pPr>
              <w:jc w:val="center"/>
              <w:rPr>
                <w:b/>
              </w:rPr>
            </w:pPr>
            <w:r>
              <w:rPr>
                <w:b/>
              </w:rPr>
              <w:t>Comparison to Benchmark</w:t>
            </w:r>
          </w:p>
        </w:tc>
      </w:tr>
      <w:tr w:rsidR="00475B80" w14:paraId="25631271" w14:textId="77777777" w:rsidTr="00475B80">
        <w:tc>
          <w:tcPr>
            <w:tcW w:w="4050" w:type="dxa"/>
          </w:tcPr>
          <w:p w14:paraId="37CC19C4" w14:textId="77777777" w:rsidR="00475B80" w:rsidRDefault="00475B80" w:rsidP="008C31A7">
            <w:pPr>
              <w:rPr>
                <w:b/>
              </w:rPr>
            </w:pPr>
            <w:r>
              <w:rPr>
                <w:b/>
              </w:rPr>
              <w:t>Increase in Income from Entry to Exit</w:t>
            </w:r>
          </w:p>
        </w:tc>
        <w:tc>
          <w:tcPr>
            <w:tcW w:w="1620" w:type="dxa"/>
            <w:vAlign w:val="center"/>
          </w:tcPr>
          <w:p w14:paraId="2C0533AB" w14:textId="77777777" w:rsidR="00475B80" w:rsidRPr="00970AF9" w:rsidRDefault="00475B80" w:rsidP="00640EBA">
            <w:pPr>
              <w:jc w:val="center"/>
              <w:rPr>
                <w:b/>
              </w:rPr>
            </w:pPr>
            <w:r w:rsidRPr="00970AF9">
              <w:rPr>
                <w:b/>
              </w:rPr>
              <w:t>44%</w:t>
            </w:r>
          </w:p>
        </w:tc>
        <w:tc>
          <w:tcPr>
            <w:tcW w:w="1620" w:type="dxa"/>
            <w:vAlign w:val="center"/>
          </w:tcPr>
          <w:p w14:paraId="5E9BFB30" w14:textId="77777777" w:rsidR="00475B80" w:rsidRDefault="00274042" w:rsidP="00640EBA">
            <w:pPr>
              <w:jc w:val="center"/>
              <w:rPr>
                <w:b/>
              </w:rPr>
            </w:pPr>
            <w:r>
              <w:rPr>
                <w:b/>
              </w:rPr>
              <w:t>47%</w:t>
            </w:r>
          </w:p>
        </w:tc>
        <w:tc>
          <w:tcPr>
            <w:tcW w:w="2970" w:type="dxa"/>
            <w:vAlign w:val="center"/>
          </w:tcPr>
          <w:p w14:paraId="21005900" w14:textId="77777777" w:rsidR="00475B80" w:rsidRDefault="00970AF9" w:rsidP="00640EBA">
            <w:pPr>
              <w:jc w:val="center"/>
              <w:rPr>
                <w:b/>
              </w:rPr>
            </w:pPr>
            <w:r>
              <w:rPr>
                <w:b/>
              </w:rPr>
              <w:t>3% decrease from PY2013</w:t>
            </w:r>
          </w:p>
        </w:tc>
      </w:tr>
      <w:tr w:rsidR="008C31A7" w14:paraId="0E512883" w14:textId="77777777" w:rsidTr="00FB0B0A">
        <w:tc>
          <w:tcPr>
            <w:tcW w:w="4050" w:type="dxa"/>
          </w:tcPr>
          <w:p w14:paraId="64C750CA" w14:textId="77777777" w:rsidR="008C31A7" w:rsidRPr="006C7B50" w:rsidRDefault="008C31A7" w:rsidP="008C31A7">
            <w:pPr>
              <w:rPr>
                <w:b/>
              </w:rPr>
            </w:pPr>
            <w:r>
              <w:rPr>
                <w:b/>
              </w:rPr>
              <w:t>Exited with 1+ Source of Non Cash Benefit</w:t>
            </w:r>
          </w:p>
        </w:tc>
        <w:tc>
          <w:tcPr>
            <w:tcW w:w="1620" w:type="dxa"/>
            <w:vAlign w:val="center"/>
          </w:tcPr>
          <w:p w14:paraId="4D734A1F" w14:textId="77777777" w:rsidR="008C31A7" w:rsidRPr="00970AF9" w:rsidRDefault="00475B80" w:rsidP="00475B80">
            <w:pPr>
              <w:jc w:val="center"/>
              <w:rPr>
                <w:b/>
              </w:rPr>
            </w:pPr>
            <w:r w:rsidRPr="00970AF9">
              <w:rPr>
                <w:b/>
              </w:rPr>
              <w:t>70%</w:t>
            </w:r>
          </w:p>
        </w:tc>
        <w:tc>
          <w:tcPr>
            <w:tcW w:w="1620" w:type="dxa"/>
            <w:vAlign w:val="center"/>
          </w:tcPr>
          <w:p w14:paraId="5AEF60F3" w14:textId="77777777" w:rsidR="008C31A7" w:rsidRDefault="008C31A7" w:rsidP="008C31A7">
            <w:pPr>
              <w:jc w:val="center"/>
              <w:rPr>
                <w:b/>
              </w:rPr>
            </w:pPr>
            <w:r>
              <w:rPr>
                <w:b/>
              </w:rPr>
              <w:t>73%</w:t>
            </w:r>
          </w:p>
        </w:tc>
        <w:tc>
          <w:tcPr>
            <w:tcW w:w="2970" w:type="dxa"/>
            <w:vAlign w:val="center"/>
          </w:tcPr>
          <w:p w14:paraId="2C673461" w14:textId="77777777" w:rsidR="008C31A7" w:rsidRDefault="00970AF9" w:rsidP="008C31A7">
            <w:pPr>
              <w:jc w:val="center"/>
              <w:rPr>
                <w:b/>
              </w:rPr>
            </w:pPr>
            <w:r>
              <w:rPr>
                <w:b/>
              </w:rPr>
              <w:t>3% decrease from PY2013</w:t>
            </w:r>
          </w:p>
        </w:tc>
      </w:tr>
      <w:tr w:rsidR="008C31A7" w14:paraId="4F6AD0B1" w14:textId="77777777" w:rsidTr="00640EBA">
        <w:trPr>
          <w:trHeight w:val="143"/>
        </w:trPr>
        <w:tc>
          <w:tcPr>
            <w:tcW w:w="4050" w:type="dxa"/>
          </w:tcPr>
          <w:p w14:paraId="5A8BD0B3" w14:textId="77777777" w:rsidR="008C31A7" w:rsidRDefault="008C31A7" w:rsidP="008C31A7">
            <w:pPr>
              <w:rPr>
                <w:b/>
              </w:rPr>
            </w:pPr>
            <w:r>
              <w:rPr>
                <w:b/>
              </w:rPr>
              <w:t>Exited with Employment Income</w:t>
            </w:r>
          </w:p>
        </w:tc>
        <w:tc>
          <w:tcPr>
            <w:tcW w:w="1620" w:type="dxa"/>
            <w:vAlign w:val="center"/>
          </w:tcPr>
          <w:p w14:paraId="40D25C30" w14:textId="77777777" w:rsidR="008C31A7" w:rsidRPr="00970AF9" w:rsidRDefault="00475B80" w:rsidP="00475B80">
            <w:pPr>
              <w:jc w:val="center"/>
              <w:rPr>
                <w:b/>
              </w:rPr>
            </w:pPr>
            <w:r w:rsidRPr="00970AF9">
              <w:rPr>
                <w:b/>
              </w:rPr>
              <w:t>34%</w:t>
            </w:r>
          </w:p>
        </w:tc>
        <w:tc>
          <w:tcPr>
            <w:tcW w:w="1620" w:type="dxa"/>
            <w:vAlign w:val="center"/>
          </w:tcPr>
          <w:p w14:paraId="61276C43" w14:textId="77777777" w:rsidR="008C31A7" w:rsidRDefault="008C31A7" w:rsidP="008C31A7">
            <w:pPr>
              <w:jc w:val="center"/>
              <w:rPr>
                <w:b/>
              </w:rPr>
            </w:pPr>
            <w:r>
              <w:rPr>
                <w:b/>
              </w:rPr>
              <w:t>27%</w:t>
            </w:r>
          </w:p>
        </w:tc>
        <w:tc>
          <w:tcPr>
            <w:tcW w:w="2970" w:type="dxa"/>
            <w:vAlign w:val="center"/>
          </w:tcPr>
          <w:p w14:paraId="4071237A" w14:textId="77777777" w:rsidR="008C31A7" w:rsidRDefault="00970AF9" w:rsidP="008C31A7">
            <w:pPr>
              <w:jc w:val="center"/>
              <w:rPr>
                <w:b/>
              </w:rPr>
            </w:pPr>
            <w:r>
              <w:rPr>
                <w:b/>
              </w:rPr>
              <w:t>7</w:t>
            </w:r>
            <w:r w:rsidR="008C31A7">
              <w:rPr>
                <w:b/>
              </w:rPr>
              <w:t>% increase from PY2013</w:t>
            </w:r>
          </w:p>
        </w:tc>
      </w:tr>
      <w:tr w:rsidR="008C31A7" w14:paraId="687B9388" w14:textId="77777777" w:rsidTr="00FB0B0A">
        <w:tc>
          <w:tcPr>
            <w:tcW w:w="4050" w:type="dxa"/>
          </w:tcPr>
          <w:p w14:paraId="4FD4FA2E" w14:textId="77777777" w:rsidR="008C31A7" w:rsidRDefault="008C31A7" w:rsidP="008C31A7">
            <w:pPr>
              <w:rPr>
                <w:b/>
              </w:rPr>
            </w:pPr>
            <w:r>
              <w:rPr>
                <w:b/>
              </w:rPr>
              <w:t>Exited with 1+ Source of Cash Mainstream Benefit (not employment)</w:t>
            </w:r>
          </w:p>
        </w:tc>
        <w:tc>
          <w:tcPr>
            <w:tcW w:w="1620" w:type="dxa"/>
            <w:vAlign w:val="center"/>
          </w:tcPr>
          <w:p w14:paraId="388E956C" w14:textId="77777777" w:rsidR="008C31A7" w:rsidRPr="00970AF9" w:rsidRDefault="00475B80" w:rsidP="00475B80">
            <w:pPr>
              <w:jc w:val="center"/>
              <w:rPr>
                <w:b/>
              </w:rPr>
            </w:pPr>
            <w:r w:rsidRPr="00970AF9">
              <w:rPr>
                <w:b/>
              </w:rPr>
              <w:t>35%</w:t>
            </w:r>
          </w:p>
        </w:tc>
        <w:tc>
          <w:tcPr>
            <w:tcW w:w="1620" w:type="dxa"/>
            <w:vAlign w:val="center"/>
          </w:tcPr>
          <w:p w14:paraId="51071A7D" w14:textId="77777777" w:rsidR="008C31A7" w:rsidRDefault="008C31A7" w:rsidP="008C31A7">
            <w:pPr>
              <w:jc w:val="center"/>
              <w:rPr>
                <w:b/>
              </w:rPr>
            </w:pPr>
            <w:r>
              <w:rPr>
                <w:b/>
              </w:rPr>
              <w:t>46%</w:t>
            </w:r>
          </w:p>
        </w:tc>
        <w:tc>
          <w:tcPr>
            <w:tcW w:w="2970" w:type="dxa"/>
            <w:vAlign w:val="center"/>
          </w:tcPr>
          <w:p w14:paraId="1890077A" w14:textId="6A312C60" w:rsidR="008C31A7" w:rsidRDefault="000C4744" w:rsidP="008C31A7">
            <w:pPr>
              <w:jc w:val="center"/>
              <w:rPr>
                <w:b/>
              </w:rPr>
            </w:pPr>
            <w:r>
              <w:rPr>
                <w:b/>
              </w:rPr>
              <w:t>11</w:t>
            </w:r>
            <w:r w:rsidR="008C31A7">
              <w:rPr>
                <w:b/>
              </w:rPr>
              <w:t>% decrease from PY2013</w:t>
            </w:r>
          </w:p>
        </w:tc>
      </w:tr>
      <w:tr w:rsidR="008C31A7" w:rsidRPr="00257E48" w14:paraId="4D45FDF5" w14:textId="77777777" w:rsidTr="00FB0B0A">
        <w:tc>
          <w:tcPr>
            <w:tcW w:w="4050" w:type="dxa"/>
          </w:tcPr>
          <w:p w14:paraId="67D7BBCB" w14:textId="77777777" w:rsidR="008C31A7" w:rsidRPr="00257E48" w:rsidRDefault="008C31A7" w:rsidP="008C31A7">
            <w:pPr>
              <w:rPr>
                <w:b/>
                <w:color w:val="262626" w:themeColor="text1" w:themeTint="D9"/>
              </w:rPr>
            </w:pPr>
            <w:r w:rsidRPr="00257E48">
              <w:rPr>
                <w:b/>
                <w:color w:val="262626" w:themeColor="text1" w:themeTint="D9"/>
              </w:rPr>
              <w:t>Exited with Zero Cash Income</w:t>
            </w:r>
          </w:p>
        </w:tc>
        <w:tc>
          <w:tcPr>
            <w:tcW w:w="1620" w:type="dxa"/>
            <w:vAlign w:val="center"/>
          </w:tcPr>
          <w:p w14:paraId="5A4C5075" w14:textId="77777777" w:rsidR="008C31A7" w:rsidRPr="00970AF9" w:rsidRDefault="00475B80" w:rsidP="00475B80">
            <w:pPr>
              <w:jc w:val="center"/>
              <w:rPr>
                <w:b/>
              </w:rPr>
            </w:pPr>
            <w:r w:rsidRPr="00970AF9">
              <w:rPr>
                <w:b/>
              </w:rPr>
              <w:t>26%</w:t>
            </w:r>
          </w:p>
        </w:tc>
        <w:tc>
          <w:tcPr>
            <w:tcW w:w="1620" w:type="dxa"/>
            <w:vAlign w:val="center"/>
          </w:tcPr>
          <w:p w14:paraId="3CB7800E" w14:textId="77777777" w:rsidR="008C31A7" w:rsidRPr="00257E48" w:rsidRDefault="008C31A7" w:rsidP="008C31A7">
            <w:pPr>
              <w:jc w:val="center"/>
              <w:rPr>
                <w:b/>
                <w:color w:val="262626" w:themeColor="text1" w:themeTint="D9"/>
              </w:rPr>
            </w:pPr>
            <w:r w:rsidRPr="00257E48">
              <w:rPr>
                <w:b/>
                <w:color w:val="262626" w:themeColor="text1" w:themeTint="D9"/>
              </w:rPr>
              <w:t>25%</w:t>
            </w:r>
          </w:p>
        </w:tc>
        <w:tc>
          <w:tcPr>
            <w:tcW w:w="2970" w:type="dxa"/>
            <w:vAlign w:val="center"/>
          </w:tcPr>
          <w:p w14:paraId="66B873F9" w14:textId="77777777" w:rsidR="008C31A7" w:rsidRPr="00257E48" w:rsidRDefault="00970AF9" w:rsidP="00970AF9">
            <w:pPr>
              <w:jc w:val="center"/>
              <w:rPr>
                <w:b/>
                <w:color w:val="262626" w:themeColor="text1" w:themeTint="D9"/>
              </w:rPr>
            </w:pPr>
            <w:r>
              <w:rPr>
                <w:b/>
                <w:color w:val="262626" w:themeColor="text1" w:themeTint="D9"/>
              </w:rPr>
              <w:t>1</w:t>
            </w:r>
            <w:r w:rsidR="008C31A7">
              <w:rPr>
                <w:b/>
                <w:color w:val="262626" w:themeColor="text1" w:themeTint="D9"/>
              </w:rPr>
              <w:t xml:space="preserve">% </w:t>
            </w:r>
            <w:r>
              <w:rPr>
                <w:b/>
                <w:color w:val="262626" w:themeColor="text1" w:themeTint="D9"/>
              </w:rPr>
              <w:t>inc</w:t>
            </w:r>
            <w:r w:rsidR="009D7C9F">
              <w:rPr>
                <w:b/>
                <w:color w:val="262626" w:themeColor="text1" w:themeTint="D9"/>
              </w:rPr>
              <w:t>r</w:t>
            </w:r>
            <w:r w:rsidR="008C31A7">
              <w:rPr>
                <w:b/>
                <w:color w:val="262626" w:themeColor="text1" w:themeTint="D9"/>
              </w:rPr>
              <w:t>ease from PY2013</w:t>
            </w:r>
          </w:p>
        </w:tc>
      </w:tr>
    </w:tbl>
    <w:p w14:paraId="0F66A3BF" w14:textId="77777777" w:rsidR="00320A50" w:rsidRDefault="00320A50" w:rsidP="00AD0A6F">
      <w:pPr>
        <w:rPr>
          <w:rFonts w:ascii="Times New Roman" w:hAnsi="Times New Roman" w:cs="Times New Roman"/>
          <w:b/>
          <w:i/>
          <w:szCs w:val="20"/>
        </w:rPr>
      </w:pPr>
    </w:p>
    <w:p w14:paraId="7F40B37E" w14:textId="77777777" w:rsidR="00B23A47" w:rsidRDefault="00B23A47" w:rsidP="00AD0A6F">
      <w:pPr>
        <w:rPr>
          <w:rFonts w:ascii="Times New Roman" w:hAnsi="Times New Roman" w:cs="Times New Roman"/>
          <w:b/>
          <w:i/>
          <w:szCs w:val="20"/>
        </w:rPr>
      </w:pPr>
    </w:p>
    <w:p w14:paraId="6FA489B6" w14:textId="77777777" w:rsidR="00320A50" w:rsidRDefault="00320A50" w:rsidP="00AD0A6F">
      <w:pPr>
        <w:rPr>
          <w:rFonts w:ascii="Times New Roman" w:hAnsi="Times New Roman" w:cs="Times New Roman"/>
          <w:b/>
          <w:i/>
          <w:szCs w:val="20"/>
        </w:rPr>
      </w:pPr>
    </w:p>
    <w:p w14:paraId="1C13445B" w14:textId="77777777" w:rsidR="00B9462A" w:rsidRPr="001148E6" w:rsidRDefault="00257E48" w:rsidP="00AD0A6F">
      <w:pPr>
        <w:rPr>
          <w:rFonts w:ascii="Times New Roman" w:hAnsi="Times New Roman" w:cs="Times New Roman"/>
          <w:color w:val="262626" w:themeColor="text1" w:themeTint="D9"/>
          <w:szCs w:val="20"/>
        </w:rPr>
      </w:pPr>
      <w:r w:rsidRPr="001148E6">
        <w:rPr>
          <w:rFonts w:ascii="Times New Roman" w:hAnsi="Times New Roman" w:cs="Times New Roman"/>
          <w:b/>
          <w:i/>
          <w:szCs w:val="20"/>
        </w:rPr>
        <w:lastRenderedPageBreak/>
        <w:t>Collaborative Applicant Commen</w:t>
      </w:r>
      <w:bookmarkStart w:id="0" w:name="_GoBack"/>
      <w:bookmarkEnd w:id="0"/>
      <w:r w:rsidRPr="001148E6">
        <w:rPr>
          <w:rFonts w:ascii="Times New Roman" w:hAnsi="Times New Roman" w:cs="Times New Roman"/>
          <w:b/>
          <w:i/>
          <w:szCs w:val="20"/>
        </w:rPr>
        <w:t>t</w:t>
      </w:r>
      <w:r w:rsidRPr="001148E6">
        <w:rPr>
          <w:rFonts w:ascii="Times New Roman" w:hAnsi="Times New Roman" w:cs="Times New Roman"/>
          <w:b/>
          <w:i/>
          <w:color w:val="262626" w:themeColor="text1" w:themeTint="D9"/>
          <w:szCs w:val="20"/>
        </w:rPr>
        <w:t>:</w:t>
      </w:r>
      <w:r w:rsidRPr="001148E6">
        <w:rPr>
          <w:rFonts w:ascii="Times New Roman" w:hAnsi="Times New Roman" w:cs="Times New Roman"/>
          <w:color w:val="262626" w:themeColor="text1" w:themeTint="D9"/>
          <w:szCs w:val="20"/>
        </w:rPr>
        <w:t xml:space="preserve">  </w:t>
      </w:r>
    </w:p>
    <w:p w14:paraId="2A320F2E" w14:textId="114589D2" w:rsidR="00D03959" w:rsidRPr="00F22BE6" w:rsidRDefault="00B9462A" w:rsidP="00AD0A6F">
      <w:pPr>
        <w:rPr>
          <w:rFonts w:ascii="Times New Roman" w:hAnsi="Times New Roman" w:cs="Times New Roman"/>
          <w:b/>
          <w:i/>
          <w:color w:val="262626" w:themeColor="text1" w:themeTint="D9"/>
          <w:szCs w:val="20"/>
        </w:rPr>
      </w:pPr>
      <w:r w:rsidRPr="00F22BE6">
        <w:rPr>
          <w:rFonts w:ascii="Times New Roman" w:hAnsi="Times New Roman" w:cs="Times New Roman"/>
          <w:i/>
          <w:color w:val="262626" w:themeColor="text1" w:themeTint="D9"/>
          <w:szCs w:val="20"/>
        </w:rPr>
        <w:t xml:space="preserve">QPR Data includes information entered into HMIS from the beginning of the CoC Performance Year through the end of the most recent quarter.  This report includes data from </w:t>
      </w:r>
      <w:r w:rsidRPr="00F22BE6">
        <w:rPr>
          <w:rFonts w:ascii="Times New Roman" w:hAnsi="Times New Roman" w:cs="Times New Roman"/>
          <w:b/>
          <w:i/>
          <w:color w:val="262626" w:themeColor="text1" w:themeTint="D9"/>
          <w:szCs w:val="20"/>
        </w:rPr>
        <w:t xml:space="preserve">October 1, 2013 – </w:t>
      </w:r>
      <w:r w:rsidR="00F22BE6" w:rsidRPr="00F22BE6">
        <w:rPr>
          <w:rFonts w:ascii="Times New Roman" w:hAnsi="Times New Roman" w:cs="Times New Roman"/>
          <w:b/>
          <w:i/>
          <w:color w:val="262626" w:themeColor="text1" w:themeTint="D9"/>
          <w:szCs w:val="20"/>
        </w:rPr>
        <w:t>June 3</w:t>
      </w:r>
      <w:r w:rsidR="00320A50">
        <w:rPr>
          <w:rFonts w:ascii="Times New Roman" w:hAnsi="Times New Roman" w:cs="Times New Roman"/>
          <w:b/>
          <w:i/>
          <w:color w:val="262626" w:themeColor="text1" w:themeTint="D9"/>
          <w:szCs w:val="20"/>
        </w:rPr>
        <w:t>0</w:t>
      </w:r>
      <w:r w:rsidRPr="00F22BE6">
        <w:rPr>
          <w:rFonts w:ascii="Times New Roman" w:hAnsi="Times New Roman" w:cs="Times New Roman"/>
          <w:b/>
          <w:i/>
          <w:color w:val="262626" w:themeColor="text1" w:themeTint="D9"/>
          <w:szCs w:val="20"/>
        </w:rPr>
        <w:t xml:space="preserve">, 2014.  </w:t>
      </w:r>
      <w:r w:rsidRPr="00F22BE6">
        <w:rPr>
          <w:rFonts w:ascii="Times New Roman" w:hAnsi="Times New Roman" w:cs="Times New Roman"/>
          <w:i/>
          <w:color w:val="262626" w:themeColor="text1" w:themeTint="D9"/>
          <w:szCs w:val="20"/>
        </w:rPr>
        <w:t xml:space="preserve">The PY2013 Data is pulled from HMIS reports dated </w:t>
      </w:r>
      <w:r w:rsidRPr="00F22BE6">
        <w:rPr>
          <w:rFonts w:ascii="Times New Roman" w:hAnsi="Times New Roman" w:cs="Times New Roman"/>
          <w:b/>
          <w:i/>
          <w:color w:val="262626" w:themeColor="text1" w:themeTint="D9"/>
          <w:szCs w:val="20"/>
        </w:rPr>
        <w:t>October 1, 2012 – September 30, 2013.</w:t>
      </w:r>
      <w:r w:rsidR="00D03959" w:rsidRPr="00F22BE6">
        <w:rPr>
          <w:rFonts w:ascii="Times New Roman" w:hAnsi="Times New Roman" w:cs="Times New Roman"/>
          <w:b/>
          <w:i/>
          <w:color w:val="262626" w:themeColor="text1" w:themeTint="D9"/>
          <w:szCs w:val="20"/>
        </w:rPr>
        <w:t xml:space="preserve">  </w:t>
      </w:r>
      <w:r w:rsidR="00B23A47" w:rsidRPr="00B23A47">
        <w:rPr>
          <w:rFonts w:ascii="Times New Roman" w:hAnsi="Times New Roman" w:cs="Times New Roman"/>
          <w:i/>
          <w:color w:val="262626" w:themeColor="text1" w:themeTint="D9"/>
          <w:szCs w:val="20"/>
        </w:rPr>
        <w:t xml:space="preserve">Current </w:t>
      </w:r>
      <w:r w:rsidR="00D03959" w:rsidRPr="00B23A47">
        <w:rPr>
          <w:rFonts w:ascii="Times New Roman" w:hAnsi="Times New Roman" w:cs="Times New Roman"/>
          <w:i/>
          <w:color w:val="262626" w:themeColor="text1" w:themeTint="D9"/>
          <w:szCs w:val="20"/>
        </w:rPr>
        <w:t>Point</w:t>
      </w:r>
      <w:r w:rsidR="00D03959" w:rsidRPr="00F22BE6">
        <w:rPr>
          <w:rFonts w:ascii="Times New Roman" w:hAnsi="Times New Roman" w:cs="Times New Roman"/>
          <w:i/>
          <w:color w:val="262626" w:themeColor="text1" w:themeTint="D9"/>
          <w:szCs w:val="20"/>
        </w:rPr>
        <w:t xml:space="preserve"> </w:t>
      </w:r>
      <w:proofErr w:type="gramStart"/>
      <w:r w:rsidR="00D03959" w:rsidRPr="00F22BE6">
        <w:rPr>
          <w:rFonts w:ascii="Times New Roman" w:hAnsi="Times New Roman" w:cs="Times New Roman"/>
          <w:i/>
          <w:color w:val="262626" w:themeColor="text1" w:themeTint="D9"/>
          <w:szCs w:val="20"/>
        </w:rPr>
        <w:t>In</w:t>
      </w:r>
      <w:proofErr w:type="gramEnd"/>
      <w:r w:rsidR="00D03959" w:rsidRPr="00F22BE6">
        <w:rPr>
          <w:rFonts w:ascii="Times New Roman" w:hAnsi="Times New Roman" w:cs="Times New Roman"/>
          <w:i/>
          <w:color w:val="262626" w:themeColor="text1" w:themeTint="D9"/>
          <w:szCs w:val="20"/>
        </w:rPr>
        <w:t xml:space="preserve"> Time data</w:t>
      </w:r>
      <w:r w:rsidR="00184C9A">
        <w:rPr>
          <w:rFonts w:ascii="Times New Roman" w:hAnsi="Times New Roman" w:cs="Times New Roman"/>
          <w:i/>
          <w:color w:val="262626" w:themeColor="text1" w:themeTint="D9"/>
          <w:szCs w:val="20"/>
        </w:rPr>
        <w:t xml:space="preserve"> is</w:t>
      </w:r>
      <w:r w:rsidR="00D03959" w:rsidRPr="00F22BE6">
        <w:rPr>
          <w:rFonts w:ascii="Times New Roman" w:hAnsi="Times New Roman" w:cs="Times New Roman"/>
          <w:i/>
          <w:color w:val="262626" w:themeColor="text1" w:themeTint="D9"/>
          <w:szCs w:val="20"/>
        </w:rPr>
        <w:t xml:space="preserve"> pulled from HMIS for </w:t>
      </w:r>
      <w:r w:rsidR="00F22BE6" w:rsidRPr="00F22BE6">
        <w:rPr>
          <w:rFonts w:ascii="Times New Roman" w:hAnsi="Times New Roman" w:cs="Times New Roman"/>
          <w:b/>
          <w:i/>
          <w:color w:val="262626" w:themeColor="text1" w:themeTint="D9"/>
          <w:szCs w:val="20"/>
        </w:rPr>
        <w:t xml:space="preserve">July </w:t>
      </w:r>
      <w:r w:rsidR="00D03959" w:rsidRPr="00F22BE6">
        <w:rPr>
          <w:rFonts w:ascii="Times New Roman" w:hAnsi="Times New Roman" w:cs="Times New Roman"/>
          <w:b/>
          <w:i/>
          <w:color w:val="262626" w:themeColor="text1" w:themeTint="D9"/>
          <w:szCs w:val="20"/>
        </w:rPr>
        <w:t>23, 2014.</w:t>
      </w:r>
    </w:p>
    <w:p w14:paraId="5D7D336C" w14:textId="4F4F3CF9" w:rsidR="00214248" w:rsidRPr="00F22BE6" w:rsidRDefault="00D03959" w:rsidP="00AD0A6F">
      <w:pPr>
        <w:rPr>
          <w:rFonts w:ascii="Times New Roman" w:hAnsi="Times New Roman" w:cs="Times New Roman"/>
          <w:i/>
          <w:color w:val="262626" w:themeColor="text1" w:themeTint="D9"/>
          <w:szCs w:val="20"/>
        </w:rPr>
      </w:pPr>
      <w:r w:rsidRPr="00F22BE6">
        <w:rPr>
          <w:rFonts w:ascii="Times New Roman" w:hAnsi="Times New Roman" w:cs="Times New Roman"/>
          <w:i/>
          <w:color w:val="262626" w:themeColor="text1" w:themeTint="D9"/>
          <w:szCs w:val="20"/>
        </w:rPr>
        <w:t>At the time APR</w:t>
      </w:r>
      <w:r w:rsidR="00B9462A" w:rsidRPr="00F22BE6">
        <w:rPr>
          <w:rFonts w:ascii="Times New Roman" w:hAnsi="Times New Roman" w:cs="Times New Roman"/>
          <w:i/>
          <w:color w:val="262626" w:themeColor="text1" w:themeTint="D9"/>
          <w:szCs w:val="20"/>
        </w:rPr>
        <w:t xml:space="preserve"> reports were</w:t>
      </w:r>
      <w:r w:rsidR="008F5917" w:rsidRPr="00F22BE6">
        <w:rPr>
          <w:rFonts w:ascii="Times New Roman" w:hAnsi="Times New Roman" w:cs="Times New Roman"/>
          <w:i/>
          <w:color w:val="262626" w:themeColor="text1" w:themeTint="D9"/>
          <w:szCs w:val="20"/>
        </w:rPr>
        <w:t xml:space="preserve"> pulled</w:t>
      </w:r>
      <w:r w:rsidRPr="00F22BE6">
        <w:rPr>
          <w:rFonts w:ascii="Times New Roman" w:hAnsi="Times New Roman" w:cs="Times New Roman"/>
          <w:i/>
          <w:color w:val="262626" w:themeColor="text1" w:themeTint="D9"/>
          <w:szCs w:val="20"/>
        </w:rPr>
        <w:t>,</w:t>
      </w:r>
      <w:r w:rsidR="00B9462A" w:rsidRPr="00F22BE6">
        <w:rPr>
          <w:rFonts w:ascii="Times New Roman" w:hAnsi="Times New Roman" w:cs="Times New Roman"/>
          <w:i/>
          <w:color w:val="262626" w:themeColor="text1" w:themeTint="D9"/>
          <w:szCs w:val="20"/>
        </w:rPr>
        <w:t xml:space="preserve"> there were </w:t>
      </w:r>
      <w:r w:rsidR="00F22BE6" w:rsidRPr="00F22BE6">
        <w:rPr>
          <w:rFonts w:ascii="Times New Roman" w:hAnsi="Times New Roman" w:cs="Times New Roman"/>
          <w:b/>
          <w:i/>
          <w:color w:val="262626" w:themeColor="text1" w:themeTint="D9"/>
          <w:szCs w:val="20"/>
        </w:rPr>
        <w:t>1,080</w:t>
      </w:r>
      <w:r w:rsidR="00B9462A" w:rsidRPr="00F22BE6">
        <w:rPr>
          <w:rFonts w:ascii="Times New Roman" w:hAnsi="Times New Roman" w:cs="Times New Roman"/>
          <w:b/>
          <w:i/>
          <w:color w:val="262626" w:themeColor="text1" w:themeTint="D9"/>
          <w:szCs w:val="20"/>
        </w:rPr>
        <w:t xml:space="preserve"> missing data elements in the Q</w:t>
      </w:r>
      <w:r w:rsidRPr="00F22BE6">
        <w:rPr>
          <w:rFonts w:ascii="Times New Roman" w:hAnsi="Times New Roman" w:cs="Times New Roman"/>
          <w:b/>
          <w:i/>
          <w:color w:val="262626" w:themeColor="text1" w:themeTint="D9"/>
          <w:szCs w:val="20"/>
        </w:rPr>
        <w:t>uarterly</w:t>
      </w:r>
      <w:r w:rsidR="00B9462A" w:rsidRPr="00F22BE6">
        <w:rPr>
          <w:rFonts w:ascii="Times New Roman" w:hAnsi="Times New Roman" w:cs="Times New Roman"/>
          <w:b/>
          <w:i/>
          <w:color w:val="262626" w:themeColor="text1" w:themeTint="D9"/>
          <w:szCs w:val="20"/>
        </w:rPr>
        <w:t xml:space="preserve"> reports</w:t>
      </w:r>
      <w:r w:rsidR="00B9462A" w:rsidRPr="00F22BE6">
        <w:rPr>
          <w:rFonts w:ascii="Times New Roman" w:hAnsi="Times New Roman" w:cs="Times New Roman"/>
          <w:i/>
          <w:color w:val="262626" w:themeColor="text1" w:themeTint="D9"/>
          <w:szCs w:val="20"/>
        </w:rPr>
        <w:t xml:space="preserve"> and </w:t>
      </w:r>
      <w:r w:rsidR="00B9462A" w:rsidRPr="00F22BE6">
        <w:rPr>
          <w:rFonts w:ascii="Times New Roman" w:hAnsi="Times New Roman" w:cs="Times New Roman"/>
          <w:b/>
          <w:i/>
          <w:color w:val="262626" w:themeColor="text1" w:themeTint="D9"/>
          <w:szCs w:val="20"/>
        </w:rPr>
        <w:t>271 missing data elements from the PY2013 reports</w:t>
      </w:r>
      <w:r w:rsidR="00B9462A" w:rsidRPr="00F22BE6">
        <w:rPr>
          <w:rFonts w:ascii="Times New Roman" w:hAnsi="Times New Roman" w:cs="Times New Roman"/>
          <w:i/>
          <w:color w:val="262626" w:themeColor="text1" w:themeTint="D9"/>
          <w:szCs w:val="20"/>
        </w:rPr>
        <w:t>.  Exact performance numbers will be adjusted in the future, once all data is complete and accurate.</w:t>
      </w:r>
    </w:p>
    <w:p w14:paraId="272A9CAA" w14:textId="7DD3652C" w:rsidR="001148E6" w:rsidRDefault="001148E6" w:rsidP="00AD0A6F">
      <w:pPr>
        <w:rPr>
          <w:rFonts w:ascii="Times New Roman" w:hAnsi="Times New Roman" w:cs="Times New Roman"/>
          <w:i/>
          <w:color w:val="262626" w:themeColor="text1" w:themeTint="D9"/>
          <w:sz w:val="20"/>
          <w:szCs w:val="20"/>
        </w:rPr>
      </w:pPr>
    </w:p>
    <w:p w14:paraId="28C8E4D9" w14:textId="77777777" w:rsidR="00847028" w:rsidRDefault="00847028" w:rsidP="00AD0A6F">
      <w:pPr>
        <w:rPr>
          <w:rFonts w:ascii="Times New Roman" w:hAnsi="Times New Roman" w:cs="Times New Roman"/>
          <w:i/>
          <w:color w:val="262626" w:themeColor="text1" w:themeTint="D9"/>
          <w:sz w:val="20"/>
          <w:szCs w:val="20"/>
        </w:rPr>
      </w:pPr>
    </w:p>
    <w:p w14:paraId="3E00306C" w14:textId="77777777" w:rsidR="00847028" w:rsidRDefault="004F48FE" w:rsidP="00AD0A6F">
      <w:pPr>
        <w:rPr>
          <w:rFonts w:ascii="Times New Roman" w:hAnsi="Times New Roman" w:cs="Times New Roman"/>
          <w:i/>
          <w:color w:val="262626" w:themeColor="text1" w:themeTint="D9"/>
          <w:sz w:val="20"/>
          <w:szCs w:val="20"/>
        </w:rPr>
      </w:pPr>
      <w:r>
        <w:rPr>
          <w:rFonts w:ascii="Times New Roman" w:hAnsi="Times New Roman" w:cs="Times New Roman"/>
          <w:i/>
          <w:color w:val="262626" w:themeColor="text1" w:themeTint="D9"/>
          <w:sz w:val="20"/>
          <w:szCs w:val="20"/>
        </w:rPr>
        <w:t xml:space="preserve">  </w:t>
      </w:r>
    </w:p>
    <w:p w14:paraId="284E860A" w14:textId="77777777" w:rsidR="00847028" w:rsidRDefault="00847028" w:rsidP="00AD0A6F">
      <w:pPr>
        <w:rPr>
          <w:rFonts w:ascii="Times New Roman" w:hAnsi="Times New Roman" w:cs="Times New Roman"/>
          <w:i/>
          <w:color w:val="262626" w:themeColor="text1" w:themeTint="D9"/>
          <w:sz w:val="20"/>
          <w:szCs w:val="20"/>
        </w:rPr>
      </w:pPr>
    </w:p>
    <w:p w14:paraId="6778E933" w14:textId="77777777" w:rsidR="00847028" w:rsidRDefault="00847028" w:rsidP="00AD0A6F">
      <w:pPr>
        <w:rPr>
          <w:rFonts w:ascii="Times New Roman" w:hAnsi="Times New Roman" w:cs="Times New Roman"/>
          <w:i/>
          <w:color w:val="262626" w:themeColor="text1" w:themeTint="D9"/>
          <w:sz w:val="20"/>
          <w:szCs w:val="20"/>
        </w:rPr>
      </w:pPr>
    </w:p>
    <w:p w14:paraId="249732E1" w14:textId="77777777" w:rsidR="00847028" w:rsidRDefault="00847028" w:rsidP="00AD0A6F">
      <w:pPr>
        <w:rPr>
          <w:rFonts w:ascii="Times New Roman" w:hAnsi="Times New Roman" w:cs="Times New Roman"/>
          <w:i/>
          <w:color w:val="262626" w:themeColor="text1" w:themeTint="D9"/>
          <w:sz w:val="20"/>
          <w:szCs w:val="20"/>
        </w:rPr>
      </w:pPr>
    </w:p>
    <w:p w14:paraId="5787A40C" w14:textId="77777777" w:rsidR="00847028" w:rsidRDefault="00847028" w:rsidP="00AD0A6F">
      <w:pPr>
        <w:rPr>
          <w:rFonts w:ascii="Times New Roman" w:hAnsi="Times New Roman" w:cs="Times New Roman"/>
          <w:i/>
          <w:color w:val="262626" w:themeColor="text1" w:themeTint="D9"/>
          <w:sz w:val="20"/>
          <w:szCs w:val="20"/>
        </w:rPr>
      </w:pPr>
    </w:p>
    <w:p w14:paraId="09AD570D" w14:textId="77777777" w:rsidR="00847028" w:rsidRDefault="00847028" w:rsidP="00AD0A6F">
      <w:pPr>
        <w:rPr>
          <w:rFonts w:ascii="Times New Roman" w:hAnsi="Times New Roman" w:cs="Times New Roman"/>
          <w:i/>
          <w:color w:val="262626" w:themeColor="text1" w:themeTint="D9"/>
          <w:sz w:val="20"/>
          <w:szCs w:val="20"/>
        </w:rPr>
      </w:pPr>
    </w:p>
    <w:p w14:paraId="59F13668" w14:textId="77777777" w:rsidR="00847028" w:rsidRDefault="00847028" w:rsidP="00AD0A6F">
      <w:pPr>
        <w:rPr>
          <w:rFonts w:ascii="Times New Roman" w:hAnsi="Times New Roman" w:cs="Times New Roman"/>
          <w:i/>
          <w:color w:val="262626" w:themeColor="text1" w:themeTint="D9"/>
          <w:sz w:val="20"/>
          <w:szCs w:val="20"/>
        </w:rPr>
      </w:pPr>
    </w:p>
    <w:p w14:paraId="15C125D3" w14:textId="77777777" w:rsidR="00847028" w:rsidRDefault="00847028" w:rsidP="00AD0A6F">
      <w:pPr>
        <w:rPr>
          <w:rFonts w:ascii="Times New Roman" w:hAnsi="Times New Roman" w:cs="Times New Roman"/>
          <w:i/>
          <w:color w:val="262626" w:themeColor="text1" w:themeTint="D9"/>
          <w:sz w:val="20"/>
          <w:szCs w:val="20"/>
        </w:rPr>
      </w:pPr>
    </w:p>
    <w:p w14:paraId="2DD4D4AA" w14:textId="77777777" w:rsidR="00847028" w:rsidRDefault="00847028" w:rsidP="00AD0A6F">
      <w:pPr>
        <w:rPr>
          <w:rFonts w:ascii="Times New Roman" w:hAnsi="Times New Roman" w:cs="Times New Roman"/>
          <w:i/>
          <w:color w:val="262626" w:themeColor="text1" w:themeTint="D9"/>
          <w:sz w:val="20"/>
          <w:szCs w:val="20"/>
        </w:rPr>
      </w:pPr>
    </w:p>
    <w:p w14:paraId="58EF3C66" w14:textId="77777777" w:rsidR="00847028" w:rsidRDefault="00847028" w:rsidP="00AD0A6F">
      <w:pPr>
        <w:rPr>
          <w:rFonts w:ascii="Times New Roman" w:hAnsi="Times New Roman" w:cs="Times New Roman"/>
          <w:i/>
          <w:color w:val="262626" w:themeColor="text1" w:themeTint="D9"/>
          <w:sz w:val="20"/>
          <w:szCs w:val="20"/>
        </w:rPr>
      </w:pPr>
    </w:p>
    <w:p w14:paraId="6CECE932" w14:textId="77777777" w:rsidR="00847028" w:rsidRDefault="00847028" w:rsidP="00AD0A6F">
      <w:pPr>
        <w:rPr>
          <w:rFonts w:ascii="Times New Roman" w:hAnsi="Times New Roman" w:cs="Times New Roman"/>
          <w:i/>
          <w:color w:val="262626" w:themeColor="text1" w:themeTint="D9"/>
          <w:sz w:val="20"/>
          <w:szCs w:val="20"/>
        </w:rPr>
      </w:pPr>
    </w:p>
    <w:p w14:paraId="57BB22B1" w14:textId="77777777" w:rsidR="00847028" w:rsidRDefault="00847028" w:rsidP="00AD0A6F">
      <w:pPr>
        <w:rPr>
          <w:rFonts w:ascii="Times New Roman" w:hAnsi="Times New Roman" w:cs="Times New Roman"/>
          <w:i/>
          <w:color w:val="262626" w:themeColor="text1" w:themeTint="D9"/>
          <w:sz w:val="20"/>
          <w:szCs w:val="20"/>
        </w:rPr>
      </w:pPr>
    </w:p>
    <w:p w14:paraId="412EC022" w14:textId="77777777" w:rsidR="00847028" w:rsidRDefault="00847028" w:rsidP="00AD0A6F">
      <w:pPr>
        <w:rPr>
          <w:rFonts w:ascii="Times New Roman" w:hAnsi="Times New Roman" w:cs="Times New Roman"/>
          <w:i/>
          <w:color w:val="262626" w:themeColor="text1" w:themeTint="D9"/>
          <w:sz w:val="20"/>
          <w:szCs w:val="20"/>
        </w:rPr>
      </w:pPr>
    </w:p>
    <w:p w14:paraId="398DBE68" w14:textId="77777777" w:rsidR="00847028" w:rsidRDefault="00847028" w:rsidP="00AD0A6F">
      <w:pPr>
        <w:rPr>
          <w:rFonts w:ascii="Times New Roman" w:hAnsi="Times New Roman" w:cs="Times New Roman"/>
          <w:i/>
          <w:color w:val="262626" w:themeColor="text1" w:themeTint="D9"/>
          <w:sz w:val="20"/>
          <w:szCs w:val="20"/>
        </w:rPr>
      </w:pPr>
    </w:p>
    <w:p w14:paraId="0DCE5E65" w14:textId="77777777" w:rsidR="00847028" w:rsidRDefault="00847028" w:rsidP="00AD0A6F">
      <w:pPr>
        <w:rPr>
          <w:rFonts w:ascii="Times New Roman" w:hAnsi="Times New Roman" w:cs="Times New Roman"/>
          <w:i/>
          <w:color w:val="262626" w:themeColor="text1" w:themeTint="D9"/>
          <w:sz w:val="20"/>
          <w:szCs w:val="20"/>
        </w:rPr>
      </w:pPr>
    </w:p>
    <w:sectPr w:rsidR="00847028" w:rsidSect="00AD0A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52ED9" w14:textId="77777777" w:rsidR="008939B5" w:rsidRDefault="008939B5" w:rsidP="00D97138">
      <w:pPr>
        <w:spacing w:after="0" w:line="240" w:lineRule="auto"/>
      </w:pPr>
      <w:r>
        <w:separator/>
      </w:r>
    </w:p>
  </w:endnote>
  <w:endnote w:type="continuationSeparator" w:id="0">
    <w:p w14:paraId="0D8B3B83" w14:textId="77777777" w:rsidR="008939B5" w:rsidRDefault="008939B5" w:rsidP="00D9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94303"/>
      <w:docPartObj>
        <w:docPartGallery w:val="Page Numbers (Bottom of Page)"/>
        <w:docPartUnique/>
      </w:docPartObj>
    </w:sdtPr>
    <w:sdtEndPr>
      <w:rPr>
        <w:noProof/>
      </w:rPr>
    </w:sdtEndPr>
    <w:sdtContent>
      <w:p w14:paraId="110BE8DC" w14:textId="77777777" w:rsidR="00B727A2" w:rsidRDefault="00B727A2">
        <w:pPr>
          <w:pStyle w:val="Footer"/>
          <w:jc w:val="right"/>
        </w:pPr>
        <w:r>
          <w:fldChar w:fldCharType="begin"/>
        </w:r>
        <w:r>
          <w:instrText xml:space="preserve"> PAGE   \* MERGEFORMAT </w:instrText>
        </w:r>
        <w:r>
          <w:fldChar w:fldCharType="separate"/>
        </w:r>
        <w:r w:rsidR="004F4802">
          <w:rPr>
            <w:noProof/>
          </w:rPr>
          <w:t>1</w:t>
        </w:r>
        <w:r>
          <w:rPr>
            <w:noProof/>
          </w:rPr>
          <w:fldChar w:fldCharType="end"/>
        </w:r>
      </w:p>
    </w:sdtContent>
  </w:sdt>
  <w:p w14:paraId="10F0EA69" w14:textId="77777777" w:rsidR="00B727A2" w:rsidRDefault="00B72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EB344" w14:textId="77777777" w:rsidR="008939B5" w:rsidRDefault="008939B5" w:rsidP="00D97138">
      <w:pPr>
        <w:spacing w:after="0" w:line="240" w:lineRule="auto"/>
      </w:pPr>
      <w:r>
        <w:separator/>
      </w:r>
    </w:p>
  </w:footnote>
  <w:footnote w:type="continuationSeparator" w:id="0">
    <w:p w14:paraId="0229DF96" w14:textId="77777777" w:rsidR="008939B5" w:rsidRDefault="008939B5" w:rsidP="00D97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7D"/>
    <w:rsid w:val="0002291D"/>
    <w:rsid w:val="00026EFC"/>
    <w:rsid w:val="00043CB1"/>
    <w:rsid w:val="00050754"/>
    <w:rsid w:val="00053806"/>
    <w:rsid w:val="00054B47"/>
    <w:rsid w:val="000731CC"/>
    <w:rsid w:val="000810E8"/>
    <w:rsid w:val="000A36CC"/>
    <w:rsid w:val="000B691F"/>
    <w:rsid w:val="000C4744"/>
    <w:rsid w:val="000C6309"/>
    <w:rsid w:val="000C7012"/>
    <w:rsid w:val="000C703A"/>
    <w:rsid w:val="000F5BE5"/>
    <w:rsid w:val="001148E6"/>
    <w:rsid w:val="00115330"/>
    <w:rsid w:val="001417A9"/>
    <w:rsid w:val="001535AD"/>
    <w:rsid w:val="00154418"/>
    <w:rsid w:val="00164997"/>
    <w:rsid w:val="0017679D"/>
    <w:rsid w:val="00177FF4"/>
    <w:rsid w:val="00184C9A"/>
    <w:rsid w:val="001B533E"/>
    <w:rsid w:val="001D782C"/>
    <w:rsid w:val="001E7D95"/>
    <w:rsid w:val="00200401"/>
    <w:rsid w:val="00202F87"/>
    <w:rsid w:val="00214248"/>
    <w:rsid w:val="002202D4"/>
    <w:rsid w:val="00223760"/>
    <w:rsid w:val="00232314"/>
    <w:rsid w:val="00233C06"/>
    <w:rsid w:val="002433BE"/>
    <w:rsid w:val="00253C0D"/>
    <w:rsid w:val="00257E48"/>
    <w:rsid w:val="002720D5"/>
    <w:rsid w:val="0027400A"/>
    <w:rsid w:val="00274042"/>
    <w:rsid w:val="002957CF"/>
    <w:rsid w:val="002A2FBE"/>
    <w:rsid w:val="002C2960"/>
    <w:rsid w:val="002C2D75"/>
    <w:rsid w:val="002C3AE8"/>
    <w:rsid w:val="002E002D"/>
    <w:rsid w:val="002E6BF9"/>
    <w:rsid w:val="00314BF8"/>
    <w:rsid w:val="00320A50"/>
    <w:rsid w:val="0032630B"/>
    <w:rsid w:val="00326B58"/>
    <w:rsid w:val="00334068"/>
    <w:rsid w:val="00335019"/>
    <w:rsid w:val="00336CAC"/>
    <w:rsid w:val="00345092"/>
    <w:rsid w:val="00354F25"/>
    <w:rsid w:val="00383C5C"/>
    <w:rsid w:val="003847EF"/>
    <w:rsid w:val="00385F00"/>
    <w:rsid w:val="0038642B"/>
    <w:rsid w:val="0039271F"/>
    <w:rsid w:val="00394172"/>
    <w:rsid w:val="003C1443"/>
    <w:rsid w:val="003C496D"/>
    <w:rsid w:val="003D2E2B"/>
    <w:rsid w:val="003E1996"/>
    <w:rsid w:val="003E63B2"/>
    <w:rsid w:val="00402544"/>
    <w:rsid w:val="00406A59"/>
    <w:rsid w:val="004165F5"/>
    <w:rsid w:val="00417232"/>
    <w:rsid w:val="00433616"/>
    <w:rsid w:val="00437B33"/>
    <w:rsid w:val="0045439D"/>
    <w:rsid w:val="00461D18"/>
    <w:rsid w:val="00470733"/>
    <w:rsid w:val="00475B80"/>
    <w:rsid w:val="004A0732"/>
    <w:rsid w:val="004B4580"/>
    <w:rsid w:val="004D237E"/>
    <w:rsid w:val="004E386F"/>
    <w:rsid w:val="004F240C"/>
    <w:rsid w:val="004F4802"/>
    <w:rsid w:val="004F48FE"/>
    <w:rsid w:val="005001F2"/>
    <w:rsid w:val="00516E96"/>
    <w:rsid w:val="00535903"/>
    <w:rsid w:val="00537295"/>
    <w:rsid w:val="00540EC2"/>
    <w:rsid w:val="00547608"/>
    <w:rsid w:val="00555A9C"/>
    <w:rsid w:val="00557E94"/>
    <w:rsid w:val="00585C2E"/>
    <w:rsid w:val="0059485C"/>
    <w:rsid w:val="0059793F"/>
    <w:rsid w:val="005A1F23"/>
    <w:rsid w:val="005A355C"/>
    <w:rsid w:val="005B2EC2"/>
    <w:rsid w:val="005D0AA4"/>
    <w:rsid w:val="005E1635"/>
    <w:rsid w:val="005E2E33"/>
    <w:rsid w:val="005F0A4F"/>
    <w:rsid w:val="005F4BA8"/>
    <w:rsid w:val="00607B23"/>
    <w:rsid w:val="006171AD"/>
    <w:rsid w:val="006178B8"/>
    <w:rsid w:val="00625139"/>
    <w:rsid w:val="00635F37"/>
    <w:rsid w:val="00636970"/>
    <w:rsid w:val="00640EBA"/>
    <w:rsid w:val="00642546"/>
    <w:rsid w:val="0064312B"/>
    <w:rsid w:val="00660F25"/>
    <w:rsid w:val="00660FCC"/>
    <w:rsid w:val="00672664"/>
    <w:rsid w:val="0067275A"/>
    <w:rsid w:val="00677F00"/>
    <w:rsid w:val="00681D32"/>
    <w:rsid w:val="00687CAA"/>
    <w:rsid w:val="00697CCD"/>
    <w:rsid w:val="006A36EE"/>
    <w:rsid w:val="006C5C24"/>
    <w:rsid w:val="006C696B"/>
    <w:rsid w:val="006C7B50"/>
    <w:rsid w:val="006E2674"/>
    <w:rsid w:val="006E2E2B"/>
    <w:rsid w:val="006E3622"/>
    <w:rsid w:val="006F21BD"/>
    <w:rsid w:val="006F48D5"/>
    <w:rsid w:val="00721E77"/>
    <w:rsid w:val="00722A4F"/>
    <w:rsid w:val="00733797"/>
    <w:rsid w:val="00753BB9"/>
    <w:rsid w:val="00764941"/>
    <w:rsid w:val="00777755"/>
    <w:rsid w:val="00794163"/>
    <w:rsid w:val="00795899"/>
    <w:rsid w:val="007B65E4"/>
    <w:rsid w:val="007C7882"/>
    <w:rsid w:val="007D0F37"/>
    <w:rsid w:val="007E273B"/>
    <w:rsid w:val="00802690"/>
    <w:rsid w:val="00807390"/>
    <w:rsid w:val="00810EBF"/>
    <w:rsid w:val="00817EA9"/>
    <w:rsid w:val="00830129"/>
    <w:rsid w:val="00847028"/>
    <w:rsid w:val="00851E8C"/>
    <w:rsid w:val="00853A5D"/>
    <w:rsid w:val="00860539"/>
    <w:rsid w:val="00867AA0"/>
    <w:rsid w:val="0089096F"/>
    <w:rsid w:val="008939B5"/>
    <w:rsid w:val="0089567A"/>
    <w:rsid w:val="00897835"/>
    <w:rsid w:val="008B2386"/>
    <w:rsid w:val="008B580B"/>
    <w:rsid w:val="008C31A7"/>
    <w:rsid w:val="008C73D1"/>
    <w:rsid w:val="008E4E22"/>
    <w:rsid w:val="008F1A80"/>
    <w:rsid w:val="008F5917"/>
    <w:rsid w:val="00903706"/>
    <w:rsid w:val="00917A19"/>
    <w:rsid w:val="00934499"/>
    <w:rsid w:val="0093693B"/>
    <w:rsid w:val="00970AF9"/>
    <w:rsid w:val="009836A0"/>
    <w:rsid w:val="009968F1"/>
    <w:rsid w:val="009A0805"/>
    <w:rsid w:val="009A2580"/>
    <w:rsid w:val="009B10CA"/>
    <w:rsid w:val="009B177D"/>
    <w:rsid w:val="009B4F29"/>
    <w:rsid w:val="009C5772"/>
    <w:rsid w:val="009D7C9F"/>
    <w:rsid w:val="009F0994"/>
    <w:rsid w:val="009F248D"/>
    <w:rsid w:val="00A0019B"/>
    <w:rsid w:val="00A00F7C"/>
    <w:rsid w:val="00A118BE"/>
    <w:rsid w:val="00A15484"/>
    <w:rsid w:val="00A33AC7"/>
    <w:rsid w:val="00A423ED"/>
    <w:rsid w:val="00A427DA"/>
    <w:rsid w:val="00A45D10"/>
    <w:rsid w:val="00A536C5"/>
    <w:rsid w:val="00A57CA6"/>
    <w:rsid w:val="00A7600B"/>
    <w:rsid w:val="00A86399"/>
    <w:rsid w:val="00AB2608"/>
    <w:rsid w:val="00AB3011"/>
    <w:rsid w:val="00AB3CC3"/>
    <w:rsid w:val="00AB5D5B"/>
    <w:rsid w:val="00AC634A"/>
    <w:rsid w:val="00AD0A6F"/>
    <w:rsid w:val="00AE06C6"/>
    <w:rsid w:val="00AF1205"/>
    <w:rsid w:val="00AF1755"/>
    <w:rsid w:val="00B0090A"/>
    <w:rsid w:val="00B04315"/>
    <w:rsid w:val="00B13902"/>
    <w:rsid w:val="00B217CE"/>
    <w:rsid w:val="00B23A47"/>
    <w:rsid w:val="00B301D7"/>
    <w:rsid w:val="00B449C9"/>
    <w:rsid w:val="00B727A2"/>
    <w:rsid w:val="00B776D4"/>
    <w:rsid w:val="00B9462A"/>
    <w:rsid w:val="00BA7ECE"/>
    <w:rsid w:val="00BB4D01"/>
    <w:rsid w:val="00BD5175"/>
    <w:rsid w:val="00BF213C"/>
    <w:rsid w:val="00C00CD6"/>
    <w:rsid w:val="00C20155"/>
    <w:rsid w:val="00C201B0"/>
    <w:rsid w:val="00C22613"/>
    <w:rsid w:val="00C3785F"/>
    <w:rsid w:val="00C52D92"/>
    <w:rsid w:val="00C53613"/>
    <w:rsid w:val="00C612EA"/>
    <w:rsid w:val="00C64D3B"/>
    <w:rsid w:val="00C76DBE"/>
    <w:rsid w:val="00C902B4"/>
    <w:rsid w:val="00CA3434"/>
    <w:rsid w:val="00CA7391"/>
    <w:rsid w:val="00CD1D08"/>
    <w:rsid w:val="00CF0652"/>
    <w:rsid w:val="00D03959"/>
    <w:rsid w:val="00D26368"/>
    <w:rsid w:val="00D37D9F"/>
    <w:rsid w:val="00D40372"/>
    <w:rsid w:val="00D719D4"/>
    <w:rsid w:val="00D72887"/>
    <w:rsid w:val="00D903BA"/>
    <w:rsid w:val="00D97138"/>
    <w:rsid w:val="00DA2ED8"/>
    <w:rsid w:val="00DE3E1D"/>
    <w:rsid w:val="00E055A1"/>
    <w:rsid w:val="00E11C14"/>
    <w:rsid w:val="00E21AC0"/>
    <w:rsid w:val="00E3142F"/>
    <w:rsid w:val="00E50398"/>
    <w:rsid w:val="00E62E95"/>
    <w:rsid w:val="00E76060"/>
    <w:rsid w:val="00E9336F"/>
    <w:rsid w:val="00E935F4"/>
    <w:rsid w:val="00EA206B"/>
    <w:rsid w:val="00EB5F5A"/>
    <w:rsid w:val="00EC614E"/>
    <w:rsid w:val="00ED033C"/>
    <w:rsid w:val="00ED17DE"/>
    <w:rsid w:val="00ED512E"/>
    <w:rsid w:val="00ED6FAF"/>
    <w:rsid w:val="00EF6FD5"/>
    <w:rsid w:val="00F00A0E"/>
    <w:rsid w:val="00F02A1F"/>
    <w:rsid w:val="00F16979"/>
    <w:rsid w:val="00F22BE6"/>
    <w:rsid w:val="00F4177D"/>
    <w:rsid w:val="00F45364"/>
    <w:rsid w:val="00F5361D"/>
    <w:rsid w:val="00F80027"/>
    <w:rsid w:val="00FA599B"/>
    <w:rsid w:val="00FB0B0A"/>
    <w:rsid w:val="00FB62E6"/>
    <w:rsid w:val="00FC7A14"/>
    <w:rsid w:val="00FD236D"/>
    <w:rsid w:val="00FD242B"/>
    <w:rsid w:val="00FD39F6"/>
    <w:rsid w:val="00FD61F5"/>
    <w:rsid w:val="00FE44C4"/>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D41A9"/>
  <w15:docId w15:val="{78720B7C-70DC-41E9-90B8-F2B9D8F3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138"/>
  </w:style>
  <w:style w:type="paragraph" w:styleId="Footer">
    <w:name w:val="footer"/>
    <w:basedOn w:val="Normal"/>
    <w:link w:val="FooterChar"/>
    <w:uiPriority w:val="99"/>
    <w:unhideWhenUsed/>
    <w:rsid w:val="00D97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138"/>
  </w:style>
  <w:style w:type="table" w:styleId="TableGrid">
    <w:name w:val="Table Grid"/>
    <w:basedOn w:val="TableNormal"/>
    <w:uiPriority w:val="59"/>
    <w:rsid w:val="00D97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6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E6"/>
    <w:rPr>
      <w:rFonts w:ascii="Segoe UI" w:hAnsi="Segoe UI" w:cs="Segoe UI"/>
      <w:sz w:val="18"/>
      <w:szCs w:val="18"/>
    </w:rPr>
  </w:style>
  <w:style w:type="character" w:styleId="CommentReference">
    <w:name w:val="annotation reference"/>
    <w:basedOn w:val="DefaultParagraphFont"/>
    <w:uiPriority w:val="99"/>
    <w:semiHidden/>
    <w:unhideWhenUsed/>
    <w:rsid w:val="009D7C9F"/>
    <w:rPr>
      <w:sz w:val="16"/>
      <w:szCs w:val="16"/>
    </w:rPr>
  </w:style>
  <w:style w:type="paragraph" w:styleId="CommentText">
    <w:name w:val="annotation text"/>
    <w:basedOn w:val="Normal"/>
    <w:link w:val="CommentTextChar"/>
    <w:uiPriority w:val="99"/>
    <w:semiHidden/>
    <w:unhideWhenUsed/>
    <w:rsid w:val="009D7C9F"/>
    <w:pPr>
      <w:spacing w:line="240" w:lineRule="auto"/>
    </w:pPr>
    <w:rPr>
      <w:sz w:val="20"/>
      <w:szCs w:val="20"/>
    </w:rPr>
  </w:style>
  <w:style w:type="character" w:customStyle="1" w:styleId="CommentTextChar">
    <w:name w:val="Comment Text Char"/>
    <w:basedOn w:val="DefaultParagraphFont"/>
    <w:link w:val="CommentText"/>
    <w:uiPriority w:val="99"/>
    <w:semiHidden/>
    <w:rsid w:val="009D7C9F"/>
    <w:rPr>
      <w:sz w:val="20"/>
      <w:szCs w:val="20"/>
    </w:rPr>
  </w:style>
  <w:style w:type="paragraph" w:styleId="CommentSubject">
    <w:name w:val="annotation subject"/>
    <w:basedOn w:val="CommentText"/>
    <w:next w:val="CommentText"/>
    <w:link w:val="CommentSubjectChar"/>
    <w:uiPriority w:val="99"/>
    <w:semiHidden/>
    <w:unhideWhenUsed/>
    <w:rsid w:val="009D7C9F"/>
    <w:rPr>
      <w:b/>
      <w:bCs/>
    </w:rPr>
  </w:style>
  <w:style w:type="character" w:customStyle="1" w:styleId="CommentSubjectChar">
    <w:name w:val="Comment Subject Char"/>
    <w:basedOn w:val="CommentTextChar"/>
    <w:link w:val="CommentSubject"/>
    <w:uiPriority w:val="99"/>
    <w:semiHidden/>
    <w:rsid w:val="009D7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0381">
      <w:bodyDiv w:val="1"/>
      <w:marLeft w:val="0"/>
      <w:marRight w:val="0"/>
      <w:marTop w:val="0"/>
      <w:marBottom w:val="0"/>
      <w:divBdr>
        <w:top w:val="none" w:sz="0" w:space="0" w:color="auto"/>
        <w:left w:val="none" w:sz="0" w:space="0" w:color="auto"/>
        <w:bottom w:val="none" w:sz="0" w:space="0" w:color="auto"/>
        <w:right w:val="none" w:sz="0" w:space="0" w:color="auto"/>
      </w:divBdr>
    </w:div>
    <w:div w:id="203910554">
      <w:bodyDiv w:val="1"/>
      <w:marLeft w:val="0"/>
      <w:marRight w:val="0"/>
      <w:marTop w:val="0"/>
      <w:marBottom w:val="0"/>
      <w:divBdr>
        <w:top w:val="none" w:sz="0" w:space="0" w:color="auto"/>
        <w:left w:val="none" w:sz="0" w:space="0" w:color="auto"/>
        <w:bottom w:val="none" w:sz="0" w:space="0" w:color="auto"/>
        <w:right w:val="none" w:sz="0" w:space="0" w:color="auto"/>
      </w:divBdr>
    </w:div>
    <w:div w:id="264311578">
      <w:bodyDiv w:val="1"/>
      <w:marLeft w:val="0"/>
      <w:marRight w:val="0"/>
      <w:marTop w:val="0"/>
      <w:marBottom w:val="0"/>
      <w:divBdr>
        <w:top w:val="none" w:sz="0" w:space="0" w:color="auto"/>
        <w:left w:val="none" w:sz="0" w:space="0" w:color="auto"/>
        <w:bottom w:val="none" w:sz="0" w:space="0" w:color="auto"/>
        <w:right w:val="none" w:sz="0" w:space="0" w:color="auto"/>
      </w:divBdr>
    </w:div>
    <w:div w:id="410737547">
      <w:bodyDiv w:val="1"/>
      <w:marLeft w:val="0"/>
      <w:marRight w:val="0"/>
      <w:marTop w:val="0"/>
      <w:marBottom w:val="0"/>
      <w:divBdr>
        <w:top w:val="none" w:sz="0" w:space="0" w:color="auto"/>
        <w:left w:val="none" w:sz="0" w:space="0" w:color="auto"/>
        <w:bottom w:val="none" w:sz="0" w:space="0" w:color="auto"/>
        <w:right w:val="none" w:sz="0" w:space="0" w:color="auto"/>
      </w:divBdr>
    </w:div>
    <w:div w:id="454065595">
      <w:bodyDiv w:val="1"/>
      <w:marLeft w:val="0"/>
      <w:marRight w:val="0"/>
      <w:marTop w:val="0"/>
      <w:marBottom w:val="0"/>
      <w:divBdr>
        <w:top w:val="none" w:sz="0" w:space="0" w:color="auto"/>
        <w:left w:val="none" w:sz="0" w:space="0" w:color="auto"/>
        <w:bottom w:val="none" w:sz="0" w:space="0" w:color="auto"/>
        <w:right w:val="none" w:sz="0" w:space="0" w:color="auto"/>
      </w:divBdr>
    </w:div>
    <w:div w:id="589655685">
      <w:bodyDiv w:val="1"/>
      <w:marLeft w:val="0"/>
      <w:marRight w:val="0"/>
      <w:marTop w:val="0"/>
      <w:marBottom w:val="0"/>
      <w:divBdr>
        <w:top w:val="none" w:sz="0" w:space="0" w:color="auto"/>
        <w:left w:val="none" w:sz="0" w:space="0" w:color="auto"/>
        <w:bottom w:val="none" w:sz="0" w:space="0" w:color="auto"/>
        <w:right w:val="none" w:sz="0" w:space="0" w:color="auto"/>
      </w:divBdr>
    </w:div>
    <w:div w:id="732461210">
      <w:bodyDiv w:val="1"/>
      <w:marLeft w:val="0"/>
      <w:marRight w:val="0"/>
      <w:marTop w:val="0"/>
      <w:marBottom w:val="0"/>
      <w:divBdr>
        <w:top w:val="none" w:sz="0" w:space="0" w:color="auto"/>
        <w:left w:val="none" w:sz="0" w:space="0" w:color="auto"/>
        <w:bottom w:val="none" w:sz="0" w:space="0" w:color="auto"/>
        <w:right w:val="none" w:sz="0" w:space="0" w:color="auto"/>
      </w:divBdr>
    </w:div>
    <w:div w:id="780345377">
      <w:bodyDiv w:val="1"/>
      <w:marLeft w:val="0"/>
      <w:marRight w:val="0"/>
      <w:marTop w:val="0"/>
      <w:marBottom w:val="0"/>
      <w:divBdr>
        <w:top w:val="none" w:sz="0" w:space="0" w:color="auto"/>
        <w:left w:val="none" w:sz="0" w:space="0" w:color="auto"/>
        <w:bottom w:val="none" w:sz="0" w:space="0" w:color="auto"/>
        <w:right w:val="none" w:sz="0" w:space="0" w:color="auto"/>
      </w:divBdr>
    </w:div>
    <w:div w:id="791436647">
      <w:bodyDiv w:val="1"/>
      <w:marLeft w:val="0"/>
      <w:marRight w:val="0"/>
      <w:marTop w:val="0"/>
      <w:marBottom w:val="0"/>
      <w:divBdr>
        <w:top w:val="none" w:sz="0" w:space="0" w:color="auto"/>
        <w:left w:val="none" w:sz="0" w:space="0" w:color="auto"/>
        <w:bottom w:val="none" w:sz="0" w:space="0" w:color="auto"/>
        <w:right w:val="none" w:sz="0" w:space="0" w:color="auto"/>
      </w:divBdr>
    </w:div>
    <w:div w:id="818692087">
      <w:bodyDiv w:val="1"/>
      <w:marLeft w:val="0"/>
      <w:marRight w:val="0"/>
      <w:marTop w:val="0"/>
      <w:marBottom w:val="0"/>
      <w:divBdr>
        <w:top w:val="none" w:sz="0" w:space="0" w:color="auto"/>
        <w:left w:val="none" w:sz="0" w:space="0" w:color="auto"/>
        <w:bottom w:val="none" w:sz="0" w:space="0" w:color="auto"/>
        <w:right w:val="none" w:sz="0" w:space="0" w:color="auto"/>
      </w:divBdr>
    </w:div>
    <w:div w:id="835191412">
      <w:bodyDiv w:val="1"/>
      <w:marLeft w:val="0"/>
      <w:marRight w:val="0"/>
      <w:marTop w:val="0"/>
      <w:marBottom w:val="0"/>
      <w:divBdr>
        <w:top w:val="none" w:sz="0" w:space="0" w:color="auto"/>
        <w:left w:val="none" w:sz="0" w:space="0" w:color="auto"/>
        <w:bottom w:val="none" w:sz="0" w:space="0" w:color="auto"/>
        <w:right w:val="none" w:sz="0" w:space="0" w:color="auto"/>
      </w:divBdr>
    </w:div>
    <w:div w:id="952445455">
      <w:bodyDiv w:val="1"/>
      <w:marLeft w:val="0"/>
      <w:marRight w:val="0"/>
      <w:marTop w:val="0"/>
      <w:marBottom w:val="0"/>
      <w:divBdr>
        <w:top w:val="none" w:sz="0" w:space="0" w:color="auto"/>
        <w:left w:val="none" w:sz="0" w:space="0" w:color="auto"/>
        <w:bottom w:val="none" w:sz="0" w:space="0" w:color="auto"/>
        <w:right w:val="none" w:sz="0" w:space="0" w:color="auto"/>
      </w:divBdr>
    </w:div>
    <w:div w:id="1034379055">
      <w:bodyDiv w:val="1"/>
      <w:marLeft w:val="0"/>
      <w:marRight w:val="0"/>
      <w:marTop w:val="0"/>
      <w:marBottom w:val="0"/>
      <w:divBdr>
        <w:top w:val="none" w:sz="0" w:space="0" w:color="auto"/>
        <w:left w:val="none" w:sz="0" w:space="0" w:color="auto"/>
        <w:bottom w:val="none" w:sz="0" w:space="0" w:color="auto"/>
        <w:right w:val="none" w:sz="0" w:space="0" w:color="auto"/>
      </w:divBdr>
    </w:div>
    <w:div w:id="1122766703">
      <w:bodyDiv w:val="1"/>
      <w:marLeft w:val="0"/>
      <w:marRight w:val="0"/>
      <w:marTop w:val="0"/>
      <w:marBottom w:val="0"/>
      <w:divBdr>
        <w:top w:val="none" w:sz="0" w:space="0" w:color="auto"/>
        <w:left w:val="none" w:sz="0" w:space="0" w:color="auto"/>
        <w:bottom w:val="none" w:sz="0" w:space="0" w:color="auto"/>
        <w:right w:val="none" w:sz="0" w:space="0" w:color="auto"/>
      </w:divBdr>
    </w:div>
    <w:div w:id="1163158496">
      <w:bodyDiv w:val="1"/>
      <w:marLeft w:val="0"/>
      <w:marRight w:val="0"/>
      <w:marTop w:val="0"/>
      <w:marBottom w:val="0"/>
      <w:divBdr>
        <w:top w:val="none" w:sz="0" w:space="0" w:color="auto"/>
        <w:left w:val="none" w:sz="0" w:space="0" w:color="auto"/>
        <w:bottom w:val="none" w:sz="0" w:space="0" w:color="auto"/>
        <w:right w:val="none" w:sz="0" w:space="0" w:color="auto"/>
      </w:divBdr>
    </w:div>
    <w:div w:id="1218317806">
      <w:bodyDiv w:val="1"/>
      <w:marLeft w:val="0"/>
      <w:marRight w:val="0"/>
      <w:marTop w:val="0"/>
      <w:marBottom w:val="0"/>
      <w:divBdr>
        <w:top w:val="none" w:sz="0" w:space="0" w:color="auto"/>
        <w:left w:val="none" w:sz="0" w:space="0" w:color="auto"/>
        <w:bottom w:val="none" w:sz="0" w:space="0" w:color="auto"/>
        <w:right w:val="none" w:sz="0" w:space="0" w:color="auto"/>
      </w:divBdr>
    </w:div>
    <w:div w:id="1269435881">
      <w:bodyDiv w:val="1"/>
      <w:marLeft w:val="0"/>
      <w:marRight w:val="0"/>
      <w:marTop w:val="0"/>
      <w:marBottom w:val="0"/>
      <w:divBdr>
        <w:top w:val="none" w:sz="0" w:space="0" w:color="auto"/>
        <w:left w:val="none" w:sz="0" w:space="0" w:color="auto"/>
        <w:bottom w:val="none" w:sz="0" w:space="0" w:color="auto"/>
        <w:right w:val="none" w:sz="0" w:space="0" w:color="auto"/>
      </w:divBdr>
    </w:div>
    <w:div w:id="1286037150">
      <w:bodyDiv w:val="1"/>
      <w:marLeft w:val="0"/>
      <w:marRight w:val="0"/>
      <w:marTop w:val="0"/>
      <w:marBottom w:val="0"/>
      <w:divBdr>
        <w:top w:val="none" w:sz="0" w:space="0" w:color="auto"/>
        <w:left w:val="none" w:sz="0" w:space="0" w:color="auto"/>
        <w:bottom w:val="none" w:sz="0" w:space="0" w:color="auto"/>
        <w:right w:val="none" w:sz="0" w:space="0" w:color="auto"/>
      </w:divBdr>
    </w:div>
    <w:div w:id="1383334631">
      <w:bodyDiv w:val="1"/>
      <w:marLeft w:val="0"/>
      <w:marRight w:val="0"/>
      <w:marTop w:val="0"/>
      <w:marBottom w:val="0"/>
      <w:divBdr>
        <w:top w:val="none" w:sz="0" w:space="0" w:color="auto"/>
        <w:left w:val="none" w:sz="0" w:space="0" w:color="auto"/>
        <w:bottom w:val="none" w:sz="0" w:space="0" w:color="auto"/>
        <w:right w:val="none" w:sz="0" w:space="0" w:color="auto"/>
      </w:divBdr>
    </w:div>
    <w:div w:id="1428385154">
      <w:bodyDiv w:val="1"/>
      <w:marLeft w:val="0"/>
      <w:marRight w:val="0"/>
      <w:marTop w:val="0"/>
      <w:marBottom w:val="0"/>
      <w:divBdr>
        <w:top w:val="none" w:sz="0" w:space="0" w:color="auto"/>
        <w:left w:val="none" w:sz="0" w:space="0" w:color="auto"/>
        <w:bottom w:val="none" w:sz="0" w:space="0" w:color="auto"/>
        <w:right w:val="none" w:sz="0" w:space="0" w:color="auto"/>
      </w:divBdr>
    </w:div>
    <w:div w:id="1607612900">
      <w:bodyDiv w:val="1"/>
      <w:marLeft w:val="0"/>
      <w:marRight w:val="0"/>
      <w:marTop w:val="0"/>
      <w:marBottom w:val="0"/>
      <w:divBdr>
        <w:top w:val="none" w:sz="0" w:space="0" w:color="auto"/>
        <w:left w:val="none" w:sz="0" w:space="0" w:color="auto"/>
        <w:bottom w:val="none" w:sz="0" w:space="0" w:color="auto"/>
        <w:right w:val="none" w:sz="0" w:space="0" w:color="auto"/>
      </w:divBdr>
    </w:div>
    <w:div w:id="1626698308">
      <w:bodyDiv w:val="1"/>
      <w:marLeft w:val="0"/>
      <w:marRight w:val="0"/>
      <w:marTop w:val="0"/>
      <w:marBottom w:val="0"/>
      <w:divBdr>
        <w:top w:val="none" w:sz="0" w:space="0" w:color="auto"/>
        <w:left w:val="none" w:sz="0" w:space="0" w:color="auto"/>
        <w:bottom w:val="none" w:sz="0" w:space="0" w:color="auto"/>
        <w:right w:val="none" w:sz="0" w:space="0" w:color="auto"/>
      </w:divBdr>
    </w:div>
    <w:div w:id="1688022583">
      <w:bodyDiv w:val="1"/>
      <w:marLeft w:val="0"/>
      <w:marRight w:val="0"/>
      <w:marTop w:val="0"/>
      <w:marBottom w:val="0"/>
      <w:divBdr>
        <w:top w:val="none" w:sz="0" w:space="0" w:color="auto"/>
        <w:left w:val="none" w:sz="0" w:space="0" w:color="auto"/>
        <w:bottom w:val="none" w:sz="0" w:space="0" w:color="auto"/>
        <w:right w:val="none" w:sz="0" w:space="0" w:color="auto"/>
      </w:divBdr>
    </w:div>
    <w:div w:id="1847014606">
      <w:bodyDiv w:val="1"/>
      <w:marLeft w:val="0"/>
      <w:marRight w:val="0"/>
      <w:marTop w:val="0"/>
      <w:marBottom w:val="0"/>
      <w:divBdr>
        <w:top w:val="none" w:sz="0" w:space="0" w:color="auto"/>
        <w:left w:val="none" w:sz="0" w:space="0" w:color="auto"/>
        <w:bottom w:val="none" w:sz="0" w:space="0" w:color="auto"/>
        <w:right w:val="none" w:sz="0" w:space="0" w:color="auto"/>
      </w:divBdr>
    </w:div>
    <w:div w:id="18955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C1DD-18E7-4BA9-89CD-298F2452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Carolyn Curry</cp:lastModifiedBy>
  <cp:revision>3</cp:revision>
  <cp:lastPrinted>2014-08-12T19:48:00Z</cp:lastPrinted>
  <dcterms:created xsi:type="dcterms:W3CDTF">2014-08-27T15:57:00Z</dcterms:created>
  <dcterms:modified xsi:type="dcterms:W3CDTF">2014-08-27T15:58:00Z</dcterms:modified>
</cp:coreProperties>
</file>