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44"/>
        <w:gridCol w:w="8406"/>
      </w:tblGrid>
      <w:tr w:rsidR="000F0EC3" w14:paraId="0A60BD2D" w14:textId="77777777" w:rsidTr="000F0EC3">
        <w:tc>
          <w:tcPr>
            <w:tcW w:w="505" w:type="pct"/>
          </w:tcPr>
          <w:p w14:paraId="3B0E67D8" w14:textId="77777777" w:rsidR="000F0EC3" w:rsidRPr="000F0EC3" w:rsidRDefault="000F0EC3" w:rsidP="000F0EC3">
            <w:pPr>
              <w:jc w:val="center"/>
              <w:rPr>
                <w:b/>
              </w:rPr>
            </w:pPr>
            <w:r w:rsidRPr="000F0EC3">
              <w:rPr>
                <w:b/>
              </w:rPr>
              <w:t>Date</w:t>
            </w:r>
          </w:p>
        </w:tc>
        <w:tc>
          <w:tcPr>
            <w:tcW w:w="4495" w:type="pct"/>
          </w:tcPr>
          <w:p w14:paraId="32B2A495" w14:textId="77777777" w:rsidR="000F0EC3" w:rsidRPr="000F0EC3" w:rsidRDefault="000F0EC3" w:rsidP="000F0EC3">
            <w:pPr>
              <w:jc w:val="center"/>
              <w:rPr>
                <w:b/>
              </w:rPr>
            </w:pPr>
            <w:r w:rsidRPr="000F0EC3">
              <w:rPr>
                <w:b/>
              </w:rPr>
              <w:t xml:space="preserve">Correction/ </w:t>
            </w:r>
            <w:r w:rsidR="00476998" w:rsidRPr="000F0EC3">
              <w:rPr>
                <w:b/>
              </w:rPr>
              <w:t>Clarification</w:t>
            </w:r>
            <w:bookmarkStart w:id="0" w:name="_GoBack"/>
            <w:bookmarkEnd w:id="0"/>
            <w:r w:rsidRPr="000F0EC3">
              <w:rPr>
                <w:b/>
              </w:rPr>
              <w:t>/ Supplemental Information</w:t>
            </w:r>
          </w:p>
        </w:tc>
      </w:tr>
      <w:tr w:rsidR="000F0EC3" w:rsidRPr="002F0A6A" w14:paraId="3C60ED96" w14:textId="77777777" w:rsidTr="000F0EC3">
        <w:tc>
          <w:tcPr>
            <w:tcW w:w="505" w:type="pct"/>
          </w:tcPr>
          <w:p w14:paraId="3C46210B" w14:textId="77777777" w:rsidR="000F0EC3" w:rsidRPr="002F0A6A" w:rsidRDefault="000F0EC3" w:rsidP="000F0EC3">
            <w:r w:rsidRPr="002F0A6A">
              <w:t xml:space="preserve">9/16/15 </w:t>
            </w:r>
          </w:p>
        </w:tc>
        <w:tc>
          <w:tcPr>
            <w:tcW w:w="4495" w:type="pct"/>
          </w:tcPr>
          <w:p w14:paraId="696E7797" w14:textId="77777777" w:rsidR="000F0EC3" w:rsidRPr="002F0A6A" w:rsidRDefault="000F0EC3" w:rsidP="000F0EC3">
            <w:r w:rsidRPr="002F0A6A">
              <w:rPr>
                <w:b/>
              </w:rPr>
              <w:t>Q.</w:t>
            </w:r>
            <w:r w:rsidRPr="002F0A6A">
              <w:t xml:space="preserve">  Are the measures (in the budget and outcome forms, 1.1 – 1.8) fixed and required, or can the applicant alter a measure, add a measure, or subtract a measure from this list?  </w:t>
            </w:r>
          </w:p>
          <w:p w14:paraId="4DEEB877" w14:textId="77777777" w:rsidR="002F0A6A" w:rsidRPr="002F0A6A" w:rsidRDefault="002F0A6A" w:rsidP="000F0EC3"/>
          <w:p w14:paraId="5A279A8D" w14:textId="77777777" w:rsidR="002F0A6A" w:rsidRPr="002F0A6A" w:rsidRDefault="002F0A6A" w:rsidP="002F0A6A">
            <w:r w:rsidRPr="002F0A6A">
              <w:rPr>
                <w:b/>
              </w:rPr>
              <w:t>A.</w:t>
            </w:r>
            <w:r w:rsidRPr="002F0A6A">
              <w:t xml:space="preserve">  You are welcome to articulate additional metrics in your narratives; however, the metrics that will be measured by TCHC and TDHCA on a monthly basis are those that are pre-printed on the application.</w:t>
            </w:r>
          </w:p>
        </w:tc>
      </w:tr>
      <w:tr w:rsidR="000F0EC3" w:rsidRPr="002F0A6A" w14:paraId="0711B9A8" w14:textId="77777777" w:rsidTr="000F0EC3">
        <w:tc>
          <w:tcPr>
            <w:tcW w:w="505" w:type="pct"/>
          </w:tcPr>
          <w:p w14:paraId="6D876F94" w14:textId="77777777" w:rsidR="000F0EC3" w:rsidRPr="002F0A6A" w:rsidRDefault="000F0EC3" w:rsidP="000F0EC3"/>
        </w:tc>
        <w:tc>
          <w:tcPr>
            <w:tcW w:w="4495" w:type="pct"/>
          </w:tcPr>
          <w:p w14:paraId="7FD063AB" w14:textId="77777777" w:rsidR="002F0A6A" w:rsidRPr="002F0A6A" w:rsidRDefault="000F0EC3" w:rsidP="002F0A6A">
            <w:r w:rsidRPr="00AB30B3">
              <w:rPr>
                <w:b/>
              </w:rPr>
              <w:t>Q.</w:t>
            </w:r>
            <w:r w:rsidRPr="002F0A6A">
              <w:t xml:space="preserve">  </w:t>
            </w:r>
            <w:r w:rsidR="002F0A6A" w:rsidRPr="002F0A6A">
              <w:t>Ok, just to confirm my understanding, how does TDHCA and TCHC define case management as it relates to street outreach in this measure and what documentation would be required to demonstrate case management was performed?</w:t>
            </w:r>
          </w:p>
          <w:p w14:paraId="788C8E54" w14:textId="77777777" w:rsidR="002F0A6A" w:rsidRPr="002F0A6A" w:rsidRDefault="002F0A6A" w:rsidP="000F0EC3"/>
          <w:p w14:paraId="433D2C6B" w14:textId="77777777" w:rsidR="002F0A6A" w:rsidRPr="002F0A6A" w:rsidRDefault="002F0A6A" w:rsidP="002F0A6A">
            <w:r w:rsidRPr="00AB30B3">
              <w:rPr>
                <w:b/>
              </w:rPr>
              <w:t>A.</w:t>
            </w:r>
            <w:r w:rsidRPr="002F0A6A">
              <w:t xml:space="preserve">  There is a very good resource posted near the bottom of the TDHCA webpage of ESG </w:t>
            </w:r>
            <w:hyperlink r:id="rId8" w:history="1">
              <w:r w:rsidRPr="002F0A6A">
                <w:rPr>
                  <w:rStyle w:val="Hyperlink"/>
                </w:rPr>
                <w:t>Program Guidance</w:t>
              </w:r>
            </w:hyperlink>
            <w:r w:rsidRPr="002F0A6A">
              <w:t xml:space="preserve"> called “</w:t>
            </w:r>
            <w:hyperlink r:id="rId9" w:history="1">
              <w:r w:rsidRPr="002F0A6A">
                <w:rPr>
                  <w:rStyle w:val="Hyperlink"/>
                </w:rPr>
                <w:t>Guide on Eligible ESG Uses (PDF)</w:t>
              </w:r>
            </w:hyperlink>
            <w:r w:rsidRPr="002F0A6A">
              <w:t xml:space="preserve"> (01/16/13)”:</w:t>
            </w:r>
          </w:p>
          <w:p w14:paraId="1CDDE11C" w14:textId="77777777" w:rsidR="000F0EC3" w:rsidRPr="002F0A6A" w:rsidRDefault="00476998" w:rsidP="005578A9">
            <w:hyperlink r:id="rId10" w:history="1">
              <w:r w:rsidR="002F0A6A" w:rsidRPr="002F0A6A">
                <w:rPr>
                  <w:rStyle w:val="Hyperlink"/>
                </w:rPr>
                <w:t>https://www.tdhca.state.tx.us/community-affairs/esgp/docs/ESG-EligibleUses.pdf</w:t>
              </w:r>
            </w:hyperlink>
            <w:r w:rsidR="002F0A6A" w:rsidRPr="002F0A6A">
              <w:t>. Pages 3 – 4 include descriptions of eligible activities under case management. </w:t>
            </w:r>
          </w:p>
        </w:tc>
      </w:tr>
      <w:tr w:rsidR="002F0A6A" w:rsidRPr="002F0A6A" w14:paraId="6197ACF6" w14:textId="77777777" w:rsidTr="000F0EC3">
        <w:tc>
          <w:tcPr>
            <w:tcW w:w="505" w:type="pct"/>
          </w:tcPr>
          <w:p w14:paraId="4E0C0446" w14:textId="77777777" w:rsidR="002F0A6A" w:rsidRPr="002F0A6A" w:rsidRDefault="002F0A6A" w:rsidP="000F0EC3"/>
        </w:tc>
        <w:tc>
          <w:tcPr>
            <w:tcW w:w="4495" w:type="pct"/>
          </w:tcPr>
          <w:p w14:paraId="3E0CCBA5" w14:textId="77777777" w:rsidR="005578A9" w:rsidRDefault="005578A9" w:rsidP="002F0A6A">
            <w:r>
              <w:rPr>
                <w:b/>
              </w:rPr>
              <w:t>Q.</w:t>
            </w:r>
            <w:r w:rsidRPr="005578A9">
              <w:t xml:space="preserve">  </w:t>
            </w:r>
            <w:r w:rsidR="00C85BF5" w:rsidRPr="00C85BF5">
              <w:t>I read "if the applicant plans to serve 300 clients, then there must be 300 separate case files.  If we planned to DOPS 120 individuals, would the HMIS digital record be sufficient as a "case file?"  The HMIS record would hold eligibility information and Assessments that would support outcomes as opposed to our current system of paper case files that have agency required documentation, etc.</w:t>
            </w:r>
          </w:p>
          <w:p w14:paraId="0BED4718" w14:textId="77777777" w:rsidR="005578A9" w:rsidRDefault="005578A9" w:rsidP="002F0A6A"/>
          <w:p w14:paraId="28CD2881" w14:textId="77777777" w:rsidR="002F0A6A" w:rsidRPr="002F0A6A" w:rsidRDefault="005578A9" w:rsidP="005578A9">
            <w:r w:rsidRPr="005578A9">
              <w:rPr>
                <w:b/>
              </w:rPr>
              <w:t>A.</w:t>
            </w:r>
            <w:r>
              <w:t xml:space="preserve">  </w:t>
            </w:r>
            <w:r w:rsidRPr="005578A9">
              <w:t xml:space="preserve">A </w:t>
            </w:r>
            <w:r w:rsidRPr="005578A9">
              <w:rPr>
                <w:i/>
                <w:iCs/>
              </w:rPr>
              <w:t>complete</w:t>
            </w:r>
            <w:r w:rsidRPr="005578A9">
              <w:t xml:space="preserve"> HMIS file should be sufficient to document Street Outreach and Emergency Shelter activities.  Income eligibility, the fair market rent test, rent reasonable test, and habitability checks, etc., are needed in client files for homelessness prevention and rapid re-housing, however, and ETO is not currently programmed for these efforts.  Therefore, homelessness prevention and rapid re-housing activities would require an alternate means (most likely paper) of documentation. </w:t>
            </w:r>
          </w:p>
        </w:tc>
      </w:tr>
      <w:tr w:rsidR="005578A9" w:rsidRPr="002F0A6A" w14:paraId="3F664FCF" w14:textId="77777777" w:rsidTr="000F0EC3">
        <w:tc>
          <w:tcPr>
            <w:tcW w:w="505" w:type="pct"/>
          </w:tcPr>
          <w:p w14:paraId="12D339E1" w14:textId="77777777" w:rsidR="005578A9" w:rsidRPr="002F0A6A" w:rsidRDefault="005578A9" w:rsidP="000F0EC3"/>
        </w:tc>
        <w:tc>
          <w:tcPr>
            <w:tcW w:w="4495" w:type="pct"/>
          </w:tcPr>
          <w:p w14:paraId="4C601E6A" w14:textId="77777777" w:rsidR="00C85BF5" w:rsidRDefault="00C85BF5" w:rsidP="00C85BF5">
            <w:r>
              <w:rPr>
                <w:b/>
              </w:rPr>
              <w:t>Q.</w:t>
            </w:r>
            <w:r w:rsidRPr="005578A9">
              <w:t xml:space="preserve">  What</w:t>
            </w:r>
            <w:r>
              <w:t xml:space="preserve"> constitutes a complete HMIS record?</w:t>
            </w:r>
          </w:p>
          <w:p w14:paraId="1E7BB2C2" w14:textId="77777777" w:rsidR="00C85BF5" w:rsidRDefault="00C85BF5" w:rsidP="00C85BF5"/>
          <w:p w14:paraId="0A8585AF" w14:textId="77777777" w:rsidR="005578A9" w:rsidRPr="00C85BF5" w:rsidRDefault="00C85BF5" w:rsidP="00C85BF5">
            <w:r w:rsidRPr="005578A9">
              <w:rPr>
                <w:b/>
              </w:rPr>
              <w:t>A.</w:t>
            </w:r>
            <w:r>
              <w:t xml:space="preserve">  </w:t>
            </w:r>
            <w:r w:rsidRPr="00C85BF5">
              <w:t>A complete HMIS record would include the data required to establish a new record, HUD assessments and required data elements, and narrative case notes of sufficient detail that a third party reviewer could ascertain the services delivered and the outcomes achieved.  Additionally, data entry will need to be accurate, timely, and complete in accordance with your HMIS MOA.</w:t>
            </w:r>
          </w:p>
        </w:tc>
      </w:tr>
      <w:tr w:rsidR="00C85BF5" w:rsidRPr="002F0A6A" w14:paraId="337C5E40" w14:textId="77777777" w:rsidTr="000F0EC3">
        <w:tc>
          <w:tcPr>
            <w:tcW w:w="505" w:type="pct"/>
          </w:tcPr>
          <w:p w14:paraId="53108BBE" w14:textId="77777777" w:rsidR="00C85BF5" w:rsidRPr="002F0A6A" w:rsidRDefault="00C85BF5" w:rsidP="000F0EC3"/>
        </w:tc>
        <w:tc>
          <w:tcPr>
            <w:tcW w:w="4495" w:type="pct"/>
          </w:tcPr>
          <w:p w14:paraId="3CCDE62B" w14:textId="77777777" w:rsidR="00C85BF5" w:rsidRDefault="003002D8" w:rsidP="00C85BF5">
            <w:pPr>
              <w:rPr>
                <w:rFonts w:ascii="Calibri" w:hAnsi="Calibri"/>
                <w:color w:val="000000"/>
                <w:sz w:val="21"/>
                <w:szCs w:val="21"/>
              </w:rPr>
            </w:pPr>
            <w:r w:rsidRPr="003002D8">
              <w:rPr>
                <w:rFonts w:ascii="Calibri" w:hAnsi="Calibri"/>
                <w:b/>
                <w:color w:val="000000"/>
                <w:sz w:val="21"/>
                <w:szCs w:val="21"/>
              </w:rPr>
              <w:t>Q.</w:t>
            </w:r>
            <w:r>
              <w:rPr>
                <w:rFonts w:ascii="Calibri" w:hAnsi="Calibri"/>
                <w:color w:val="000000"/>
                <w:sz w:val="21"/>
                <w:szCs w:val="21"/>
              </w:rPr>
              <w:t xml:space="preserve">  </w:t>
            </w:r>
            <w:r w:rsidR="00C85BF5">
              <w:rPr>
                <w:rFonts w:ascii="Calibri" w:hAnsi="Calibri"/>
                <w:color w:val="000000"/>
                <w:sz w:val="21"/>
                <w:szCs w:val="21"/>
              </w:rPr>
              <w:t xml:space="preserve">We are stumbling on </w:t>
            </w:r>
            <w:r>
              <w:rPr>
                <w:rFonts w:ascii="Calibri" w:hAnsi="Calibri"/>
                <w:color w:val="000000"/>
                <w:sz w:val="21"/>
                <w:szCs w:val="21"/>
              </w:rPr>
              <w:t xml:space="preserve">the </w:t>
            </w:r>
            <w:r w:rsidR="00C85BF5">
              <w:rPr>
                <w:rFonts w:ascii="Calibri" w:hAnsi="Calibri"/>
                <w:color w:val="000000"/>
                <w:sz w:val="21"/>
                <w:szCs w:val="21"/>
              </w:rPr>
              <w:t>question</w:t>
            </w:r>
            <w:r>
              <w:rPr>
                <w:rFonts w:ascii="Calibri" w:hAnsi="Calibri"/>
                <w:color w:val="000000"/>
                <w:sz w:val="21"/>
                <w:szCs w:val="21"/>
              </w:rPr>
              <w:t xml:space="preserve"> in </w:t>
            </w:r>
            <w:r w:rsidR="00C85BF5">
              <w:rPr>
                <w:rFonts w:ascii="Calibri" w:hAnsi="Calibri"/>
                <w:color w:val="000000"/>
                <w:sz w:val="21"/>
                <w:szCs w:val="21"/>
              </w:rPr>
              <w:t>Narrative D:  Why do you believe the value of the services provided is appropriate?  We don’t understand the question.  Are you asking why we think our services are a good fit for ESG?  </w:t>
            </w:r>
          </w:p>
          <w:p w14:paraId="4203D9E9" w14:textId="77777777" w:rsidR="003002D8" w:rsidRDefault="003002D8" w:rsidP="00C85BF5"/>
          <w:p w14:paraId="28CB94C4" w14:textId="77777777" w:rsidR="003002D8" w:rsidRPr="003002D8" w:rsidRDefault="003002D8" w:rsidP="003002D8">
            <w:r w:rsidRPr="003002D8">
              <w:rPr>
                <w:b/>
              </w:rPr>
              <w:t>A.</w:t>
            </w:r>
            <w:r>
              <w:t xml:space="preserve">  </w:t>
            </w:r>
            <w:r w:rsidRPr="003002D8">
              <w:t>It might be helpful to think in terms of economics:</w:t>
            </w:r>
          </w:p>
          <w:p w14:paraId="2516E3DE" w14:textId="77777777" w:rsidR="003002D8" w:rsidRPr="003002D8" w:rsidRDefault="003002D8" w:rsidP="003002D8">
            <w:r w:rsidRPr="003002D8">
              <w:rPr>
                <w:noProof/>
              </w:rPr>
              <w:lastRenderedPageBreak/>
              <w:drawing>
                <wp:inline distT="0" distB="0" distL="0" distR="0" wp14:anchorId="75E7CB76" wp14:editId="58756035">
                  <wp:extent cx="1960880" cy="1122680"/>
                  <wp:effectExtent l="0" t="0" r="1270" b="1270"/>
                  <wp:docPr id="5" name="Picture 5" descr="http://healthsciences.utah.edu/notes/images/ValueEquation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sciences.utah.edu/notes/images/ValueEquationGraphic.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0880" cy="1122680"/>
                          </a:xfrm>
                          <a:prstGeom prst="rect">
                            <a:avLst/>
                          </a:prstGeom>
                          <a:noFill/>
                          <a:ln>
                            <a:noFill/>
                          </a:ln>
                        </pic:spPr>
                      </pic:pic>
                    </a:graphicData>
                  </a:graphic>
                </wp:inline>
              </w:drawing>
            </w:r>
          </w:p>
          <w:p w14:paraId="7A308C1E" w14:textId="77777777" w:rsidR="00C85BF5" w:rsidRPr="003002D8" w:rsidRDefault="003002D8" w:rsidP="00C85BF5">
            <w:r w:rsidRPr="003002D8">
              <w:t>Why do the services you propose to deliver at the cost for which you propose to deliver them represent the best use of public funds?</w:t>
            </w:r>
          </w:p>
        </w:tc>
      </w:tr>
      <w:tr w:rsidR="003002D8" w:rsidRPr="002F0A6A" w14:paraId="4600E584" w14:textId="77777777" w:rsidTr="000F0EC3">
        <w:tc>
          <w:tcPr>
            <w:tcW w:w="505" w:type="pct"/>
          </w:tcPr>
          <w:p w14:paraId="453880C3" w14:textId="77777777" w:rsidR="003002D8" w:rsidRPr="002F0A6A" w:rsidRDefault="003002D8" w:rsidP="000F0EC3"/>
        </w:tc>
        <w:tc>
          <w:tcPr>
            <w:tcW w:w="4495" w:type="pct"/>
          </w:tcPr>
          <w:p w14:paraId="23B08592" w14:textId="77777777" w:rsidR="003002D8" w:rsidRPr="003002D8" w:rsidRDefault="003002D8" w:rsidP="002B42D3">
            <w:pPr>
              <w:rPr>
                <w:rFonts w:ascii="Calibri" w:hAnsi="Calibri"/>
                <w:b/>
                <w:color w:val="000000"/>
                <w:sz w:val="21"/>
                <w:szCs w:val="21"/>
              </w:rPr>
            </w:pPr>
            <w:r>
              <w:rPr>
                <w:rFonts w:ascii="Calibri" w:hAnsi="Calibri"/>
                <w:b/>
                <w:color w:val="000000"/>
                <w:sz w:val="21"/>
                <w:szCs w:val="21"/>
              </w:rPr>
              <w:t>Clarification.</w:t>
            </w:r>
            <w:r>
              <w:rPr>
                <w:rFonts w:ascii="Calibri" w:hAnsi="Calibri"/>
                <w:color w:val="000000"/>
                <w:sz w:val="21"/>
                <w:szCs w:val="21"/>
              </w:rPr>
              <w:t xml:space="preserve">  In our Labor Day update (document </w:t>
            </w:r>
            <w:hyperlink r:id="rId13" w:history="1">
              <w:r w:rsidRPr="003002D8">
                <w:rPr>
                  <w:rStyle w:val="Hyperlink"/>
                  <w:rFonts w:ascii="Calibri" w:hAnsi="Calibri"/>
                  <w:sz w:val="21"/>
                  <w:szCs w:val="21"/>
                </w:rPr>
                <w:t>ESG-15-007</w:t>
              </w:r>
            </w:hyperlink>
            <w:r>
              <w:rPr>
                <w:rFonts w:ascii="Calibri" w:hAnsi="Calibri"/>
                <w:color w:val="000000"/>
                <w:sz w:val="21"/>
                <w:szCs w:val="21"/>
              </w:rPr>
              <w:t xml:space="preserve"> on the webpage) we included a </w:t>
            </w:r>
            <w:r w:rsidRPr="003002D8">
              <w:rPr>
                <w:rFonts w:ascii="Calibri" w:hAnsi="Calibri"/>
                <w:color w:val="000000"/>
                <w:sz w:val="21"/>
                <w:szCs w:val="21"/>
              </w:rPr>
              <w:t xml:space="preserve">list of documents </w:t>
            </w:r>
            <w:r>
              <w:rPr>
                <w:rFonts w:ascii="Calibri" w:hAnsi="Calibri"/>
                <w:color w:val="000000"/>
                <w:sz w:val="21"/>
                <w:szCs w:val="21"/>
              </w:rPr>
              <w:t xml:space="preserve">and data that </w:t>
            </w:r>
            <w:r w:rsidR="002B42D3">
              <w:rPr>
                <w:rFonts w:ascii="Calibri" w:hAnsi="Calibri"/>
                <w:color w:val="000000"/>
                <w:sz w:val="21"/>
                <w:szCs w:val="21"/>
              </w:rPr>
              <w:t xml:space="preserve">applicants might wish to gather in preparation for the posting of the RFP and Application.  </w:t>
            </w:r>
            <w:r w:rsidRPr="003002D8">
              <w:rPr>
                <w:rFonts w:ascii="Calibri" w:hAnsi="Calibri"/>
                <w:color w:val="000000"/>
                <w:sz w:val="21"/>
                <w:szCs w:val="21"/>
              </w:rPr>
              <w:t xml:space="preserve">Fortunately, </w:t>
            </w:r>
            <w:r w:rsidR="002B42D3">
              <w:rPr>
                <w:rFonts w:ascii="Calibri" w:hAnsi="Calibri"/>
                <w:color w:val="000000"/>
                <w:sz w:val="21"/>
                <w:szCs w:val="21"/>
              </w:rPr>
              <w:t xml:space="preserve">TCHC was </w:t>
            </w:r>
            <w:r w:rsidRPr="003002D8">
              <w:rPr>
                <w:rFonts w:ascii="Calibri" w:hAnsi="Calibri"/>
                <w:color w:val="000000"/>
                <w:sz w:val="21"/>
                <w:szCs w:val="21"/>
              </w:rPr>
              <w:t xml:space="preserve">able to trim out some </w:t>
            </w:r>
            <w:r w:rsidR="002B42D3">
              <w:rPr>
                <w:rFonts w:ascii="Calibri" w:hAnsi="Calibri"/>
                <w:color w:val="000000"/>
                <w:sz w:val="21"/>
                <w:szCs w:val="21"/>
              </w:rPr>
              <w:t xml:space="preserve">of the </w:t>
            </w:r>
            <w:r w:rsidR="002B42D3" w:rsidRPr="003002D8">
              <w:rPr>
                <w:rFonts w:ascii="Calibri" w:hAnsi="Calibri"/>
                <w:color w:val="000000"/>
                <w:sz w:val="21"/>
                <w:szCs w:val="21"/>
              </w:rPr>
              <w:t xml:space="preserve">questions from the State </w:t>
            </w:r>
            <w:r w:rsidR="002B42D3">
              <w:rPr>
                <w:rFonts w:ascii="Calibri" w:hAnsi="Calibri"/>
                <w:color w:val="000000"/>
                <w:sz w:val="21"/>
                <w:szCs w:val="21"/>
              </w:rPr>
              <w:t xml:space="preserve">that in our estimation were not </w:t>
            </w:r>
            <w:r w:rsidRPr="003002D8">
              <w:rPr>
                <w:rFonts w:ascii="Calibri" w:hAnsi="Calibri"/>
                <w:color w:val="000000"/>
                <w:sz w:val="21"/>
                <w:szCs w:val="21"/>
              </w:rPr>
              <w:t>relevant</w:t>
            </w:r>
            <w:r w:rsidR="002B42D3">
              <w:rPr>
                <w:rFonts w:ascii="Calibri" w:hAnsi="Calibri"/>
                <w:color w:val="000000"/>
                <w:sz w:val="21"/>
                <w:szCs w:val="21"/>
              </w:rPr>
              <w:t xml:space="preserve"> to due diligence and compliance</w:t>
            </w:r>
            <w:r w:rsidRPr="003002D8">
              <w:rPr>
                <w:rFonts w:ascii="Calibri" w:hAnsi="Calibri"/>
                <w:color w:val="000000"/>
                <w:sz w:val="21"/>
                <w:szCs w:val="21"/>
              </w:rPr>
              <w:t>.</w:t>
            </w:r>
            <w:r w:rsidR="002B42D3">
              <w:rPr>
                <w:rFonts w:ascii="Calibri" w:hAnsi="Calibri"/>
                <w:color w:val="000000"/>
                <w:sz w:val="21"/>
                <w:szCs w:val="21"/>
              </w:rPr>
              <w:t xml:space="preserve">  The RFP and Application contain the exclusive requirements for your submission.  There is not, for example, an expectation that you include a list of your five largest donors into your narrative responses.</w:t>
            </w:r>
          </w:p>
        </w:tc>
      </w:tr>
    </w:tbl>
    <w:p w14:paraId="2B71CAA0" w14:textId="77777777" w:rsidR="00C52FE9" w:rsidRDefault="00C52FE9"/>
    <w:p w14:paraId="47773584" w14:textId="77777777" w:rsidR="003002D8" w:rsidRPr="003002D8" w:rsidRDefault="003002D8" w:rsidP="002B42D3">
      <w:pPr>
        <w:autoSpaceDE w:val="0"/>
        <w:autoSpaceDN w:val="0"/>
        <w:adjustRightInd w:val="0"/>
      </w:pPr>
      <w:r w:rsidRPr="003002D8">
        <w:rPr>
          <w:color w:val="FF0000"/>
        </w:rPr>
        <w:t xml:space="preserve">Reminder!  </w:t>
      </w:r>
      <w:r>
        <w:t>The deadline for submitting questions—and the last point at which we would post any additional information to the website</w:t>
      </w:r>
      <w:r w:rsidR="002B42D3">
        <w:t>—</w:t>
      </w:r>
      <w:r>
        <w:t xml:space="preserve">is </w:t>
      </w:r>
      <w:r w:rsidR="002B42D3">
        <w:rPr>
          <w:rFonts w:ascii="Calibri" w:hAnsi="Calibri" w:cs="Calibri"/>
          <w:color w:val="000000"/>
        </w:rPr>
        <w:t xml:space="preserve">9/17/2015 at 12:30:00 PM.  </w:t>
      </w:r>
      <w:r w:rsidRPr="003002D8">
        <w:t xml:space="preserve">Please address </w:t>
      </w:r>
      <w:r>
        <w:t xml:space="preserve">any </w:t>
      </w:r>
      <w:r w:rsidRPr="003002D8">
        <w:t xml:space="preserve">questions on the application to </w:t>
      </w:r>
      <w:hyperlink r:id="rId14" w:history="1">
        <w:r w:rsidRPr="003002D8">
          <w:rPr>
            <w:rStyle w:val="Hyperlink"/>
          </w:rPr>
          <w:t>tchc@ahomewithhope.org</w:t>
        </w:r>
      </w:hyperlink>
      <w:r w:rsidRPr="003002D8">
        <w:t xml:space="preserve"> and reference “ESG-15” in the subject line.</w:t>
      </w:r>
    </w:p>
    <w:p w14:paraId="434CD72E" w14:textId="77777777" w:rsidR="003002D8" w:rsidRDefault="003002D8"/>
    <w:sectPr w:rsidR="0030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01BD"/>
    <w:multiLevelType w:val="hybridMultilevel"/>
    <w:tmpl w:val="8892B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C3"/>
    <w:rsid w:val="000F0EC3"/>
    <w:rsid w:val="0019691E"/>
    <w:rsid w:val="002B42D3"/>
    <w:rsid w:val="002F0A6A"/>
    <w:rsid w:val="003002D8"/>
    <w:rsid w:val="00476998"/>
    <w:rsid w:val="005578A9"/>
    <w:rsid w:val="00AB30B3"/>
    <w:rsid w:val="00C52FE9"/>
    <w:rsid w:val="00C85BF5"/>
    <w:rsid w:val="00DE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5038"/>
  <w15:chartTrackingRefBased/>
  <w15:docId w15:val="{CCE0674F-75D5-49EF-BB27-61ED1A0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A6A"/>
    <w:rPr>
      <w:color w:val="0563C1" w:themeColor="hyperlink"/>
      <w:u w:val="single"/>
    </w:rPr>
  </w:style>
  <w:style w:type="paragraph" w:styleId="ListParagraph">
    <w:name w:val="List Paragraph"/>
    <w:basedOn w:val="Normal"/>
    <w:uiPriority w:val="34"/>
    <w:qFormat/>
    <w:rsid w:val="005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232">
      <w:bodyDiv w:val="1"/>
      <w:marLeft w:val="0"/>
      <w:marRight w:val="0"/>
      <w:marTop w:val="0"/>
      <w:marBottom w:val="0"/>
      <w:divBdr>
        <w:top w:val="none" w:sz="0" w:space="0" w:color="auto"/>
        <w:left w:val="none" w:sz="0" w:space="0" w:color="auto"/>
        <w:bottom w:val="none" w:sz="0" w:space="0" w:color="auto"/>
        <w:right w:val="none" w:sz="0" w:space="0" w:color="auto"/>
      </w:divBdr>
    </w:div>
    <w:div w:id="94206224">
      <w:bodyDiv w:val="1"/>
      <w:marLeft w:val="0"/>
      <w:marRight w:val="0"/>
      <w:marTop w:val="0"/>
      <w:marBottom w:val="0"/>
      <w:divBdr>
        <w:top w:val="none" w:sz="0" w:space="0" w:color="auto"/>
        <w:left w:val="none" w:sz="0" w:space="0" w:color="auto"/>
        <w:bottom w:val="none" w:sz="0" w:space="0" w:color="auto"/>
        <w:right w:val="none" w:sz="0" w:space="0" w:color="auto"/>
      </w:divBdr>
    </w:div>
    <w:div w:id="343242426">
      <w:bodyDiv w:val="1"/>
      <w:marLeft w:val="0"/>
      <w:marRight w:val="0"/>
      <w:marTop w:val="0"/>
      <w:marBottom w:val="0"/>
      <w:divBdr>
        <w:top w:val="none" w:sz="0" w:space="0" w:color="auto"/>
        <w:left w:val="none" w:sz="0" w:space="0" w:color="auto"/>
        <w:bottom w:val="none" w:sz="0" w:space="0" w:color="auto"/>
        <w:right w:val="none" w:sz="0" w:space="0" w:color="auto"/>
      </w:divBdr>
    </w:div>
    <w:div w:id="730619428">
      <w:bodyDiv w:val="1"/>
      <w:marLeft w:val="0"/>
      <w:marRight w:val="0"/>
      <w:marTop w:val="0"/>
      <w:marBottom w:val="0"/>
      <w:divBdr>
        <w:top w:val="none" w:sz="0" w:space="0" w:color="auto"/>
        <w:left w:val="none" w:sz="0" w:space="0" w:color="auto"/>
        <w:bottom w:val="none" w:sz="0" w:space="0" w:color="auto"/>
        <w:right w:val="none" w:sz="0" w:space="0" w:color="auto"/>
      </w:divBdr>
    </w:div>
    <w:div w:id="979266143">
      <w:bodyDiv w:val="1"/>
      <w:marLeft w:val="0"/>
      <w:marRight w:val="0"/>
      <w:marTop w:val="0"/>
      <w:marBottom w:val="0"/>
      <w:divBdr>
        <w:top w:val="none" w:sz="0" w:space="0" w:color="auto"/>
        <w:left w:val="none" w:sz="0" w:space="0" w:color="auto"/>
        <w:bottom w:val="none" w:sz="0" w:space="0" w:color="auto"/>
        <w:right w:val="none" w:sz="0" w:space="0" w:color="auto"/>
      </w:divBdr>
    </w:div>
    <w:div w:id="1090543503">
      <w:bodyDiv w:val="1"/>
      <w:marLeft w:val="0"/>
      <w:marRight w:val="0"/>
      <w:marTop w:val="0"/>
      <w:marBottom w:val="0"/>
      <w:divBdr>
        <w:top w:val="none" w:sz="0" w:space="0" w:color="auto"/>
        <w:left w:val="none" w:sz="0" w:space="0" w:color="auto"/>
        <w:bottom w:val="none" w:sz="0" w:space="0" w:color="auto"/>
        <w:right w:val="none" w:sz="0" w:space="0" w:color="auto"/>
      </w:divBdr>
    </w:div>
    <w:div w:id="1112166672">
      <w:bodyDiv w:val="1"/>
      <w:marLeft w:val="0"/>
      <w:marRight w:val="0"/>
      <w:marTop w:val="0"/>
      <w:marBottom w:val="0"/>
      <w:divBdr>
        <w:top w:val="none" w:sz="0" w:space="0" w:color="auto"/>
        <w:left w:val="none" w:sz="0" w:space="0" w:color="auto"/>
        <w:bottom w:val="none" w:sz="0" w:space="0" w:color="auto"/>
        <w:right w:val="none" w:sz="0" w:space="0" w:color="auto"/>
      </w:divBdr>
    </w:div>
    <w:div w:id="1195381462">
      <w:bodyDiv w:val="1"/>
      <w:marLeft w:val="0"/>
      <w:marRight w:val="0"/>
      <w:marTop w:val="0"/>
      <w:marBottom w:val="0"/>
      <w:divBdr>
        <w:top w:val="none" w:sz="0" w:space="0" w:color="auto"/>
        <w:left w:val="none" w:sz="0" w:space="0" w:color="auto"/>
        <w:bottom w:val="none" w:sz="0" w:space="0" w:color="auto"/>
        <w:right w:val="none" w:sz="0" w:space="0" w:color="auto"/>
      </w:divBdr>
    </w:div>
    <w:div w:id="1350521808">
      <w:bodyDiv w:val="1"/>
      <w:marLeft w:val="0"/>
      <w:marRight w:val="0"/>
      <w:marTop w:val="0"/>
      <w:marBottom w:val="0"/>
      <w:divBdr>
        <w:top w:val="none" w:sz="0" w:space="0" w:color="auto"/>
        <w:left w:val="none" w:sz="0" w:space="0" w:color="auto"/>
        <w:bottom w:val="none" w:sz="0" w:space="0" w:color="auto"/>
        <w:right w:val="none" w:sz="0" w:space="0" w:color="auto"/>
      </w:divBdr>
    </w:div>
    <w:div w:id="1495998583">
      <w:bodyDiv w:val="1"/>
      <w:marLeft w:val="0"/>
      <w:marRight w:val="0"/>
      <w:marTop w:val="0"/>
      <w:marBottom w:val="0"/>
      <w:divBdr>
        <w:top w:val="none" w:sz="0" w:space="0" w:color="auto"/>
        <w:left w:val="none" w:sz="0" w:space="0" w:color="auto"/>
        <w:bottom w:val="none" w:sz="0" w:space="0" w:color="auto"/>
        <w:right w:val="none" w:sz="0" w:space="0" w:color="auto"/>
      </w:divBdr>
    </w:div>
    <w:div w:id="1545285808">
      <w:bodyDiv w:val="1"/>
      <w:marLeft w:val="0"/>
      <w:marRight w:val="0"/>
      <w:marTop w:val="0"/>
      <w:marBottom w:val="0"/>
      <w:divBdr>
        <w:top w:val="none" w:sz="0" w:space="0" w:color="auto"/>
        <w:left w:val="none" w:sz="0" w:space="0" w:color="auto"/>
        <w:bottom w:val="none" w:sz="0" w:space="0" w:color="auto"/>
        <w:right w:val="none" w:sz="0" w:space="0" w:color="auto"/>
      </w:divBdr>
    </w:div>
    <w:div w:id="1547792756">
      <w:bodyDiv w:val="1"/>
      <w:marLeft w:val="0"/>
      <w:marRight w:val="0"/>
      <w:marTop w:val="0"/>
      <w:marBottom w:val="0"/>
      <w:divBdr>
        <w:top w:val="none" w:sz="0" w:space="0" w:color="auto"/>
        <w:left w:val="none" w:sz="0" w:space="0" w:color="auto"/>
        <w:bottom w:val="none" w:sz="0" w:space="0" w:color="auto"/>
        <w:right w:val="none" w:sz="0" w:space="0" w:color="auto"/>
      </w:divBdr>
    </w:div>
    <w:div w:id="1779790974">
      <w:bodyDiv w:val="1"/>
      <w:marLeft w:val="0"/>
      <w:marRight w:val="0"/>
      <w:marTop w:val="0"/>
      <w:marBottom w:val="0"/>
      <w:divBdr>
        <w:top w:val="none" w:sz="0" w:space="0" w:color="auto"/>
        <w:left w:val="none" w:sz="0" w:space="0" w:color="auto"/>
        <w:bottom w:val="none" w:sz="0" w:space="0" w:color="auto"/>
        <w:right w:val="none" w:sz="0" w:space="0" w:color="auto"/>
      </w:divBdr>
    </w:div>
    <w:div w:id="1830560218">
      <w:bodyDiv w:val="1"/>
      <w:marLeft w:val="0"/>
      <w:marRight w:val="0"/>
      <w:marTop w:val="0"/>
      <w:marBottom w:val="0"/>
      <w:divBdr>
        <w:top w:val="none" w:sz="0" w:space="0" w:color="auto"/>
        <w:left w:val="none" w:sz="0" w:space="0" w:color="auto"/>
        <w:bottom w:val="none" w:sz="0" w:space="0" w:color="auto"/>
        <w:right w:val="none" w:sz="0" w:space="0" w:color="auto"/>
      </w:divBdr>
    </w:div>
    <w:div w:id="1841313477">
      <w:bodyDiv w:val="1"/>
      <w:marLeft w:val="0"/>
      <w:marRight w:val="0"/>
      <w:marTop w:val="0"/>
      <w:marBottom w:val="0"/>
      <w:divBdr>
        <w:top w:val="none" w:sz="0" w:space="0" w:color="auto"/>
        <w:left w:val="none" w:sz="0" w:space="0" w:color="auto"/>
        <w:bottom w:val="none" w:sz="0" w:space="0" w:color="auto"/>
        <w:right w:val="none" w:sz="0" w:space="0" w:color="auto"/>
      </w:divBdr>
    </w:div>
    <w:div w:id="18924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hca.state.tx.us/community-affairs/esgp/guidance-solutions.htm" TargetMode="External"/><Relationship Id="rId13" Type="http://schemas.openxmlformats.org/officeDocument/2006/relationships/hyperlink" Target="http://www.ahomewithhope.org/wp-content/uploads/ESG-15-007-TxESG-Competition-Labor-Day-Update-from-TCH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jpg@01D0EFD0.374291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dhca.state.tx.us/community-affairs/esgp/docs/ESG-EligibleUses.pdf" TargetMode="External"/><Relationship Id="rId4" Type="http://schemas.openxmlformats.org/officeDocument/2006/relationships/numbering" Target="numbering.xml"/><Relationship Id="rId9" Type="http://schemas.openxmlformats.org/officeDocument/2006/relationships/hyperlink" Target="https://www.tdhca.state.tx.us/community-affairs/esgp/docs/ESG-EligibleUses.pdf" TargetMode="External"/><Relationship Id="rId14" Type="http://schemas.openxmlformats.org/officeDocument/2006/relationships/hyperlink" Target="mailto:tchc@ahomewith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0" ma:contentTypeDescription="Create a new document." ma:contentTypeScope="" ma:versionID="ac3f9110326f984fdbfba1924a1b19e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1C66C-EA84-42A6-8BCF-B4305130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4A7FEC-F3EB-425C-979A-3DAA4C5F31D1}">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34F503D-9C01-4B60-A99A-50E865223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Carolyn Curry</cp:lastModifiedBy>
  <cp:revision>2</cp:revision>
  <dcterms:created xsi:type="dcterms:W3CDTF">2015-09-16T15:19:00Z</dcterms:created>
  <dcterms:modified xsi:type="dcterms:W3CDTF">2015-09-16T15:19:00Z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